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F563F" w14:textId="42718E4F" w:rsidR="004132E5" w:rsidRPr="00B667C4" w:rsidRDefault="00527051" w:rsidP="003163C6">
      <w:pPr>
        <w:pStyle w:val="Title2"/>
        <w:spacing w:after="120" w:line="276" w:lineRule="auto"/>
        <w:rPr>
          <w:rFonts w:asciiTheme="minorHAnsi" w:eastAsia="Times New Roman" w:hAnsiTheme="minorHAnsi" w:cstheme="minorHAnsi"/>
          <w:b/>
          <w:caps w:val="0"/>
          <w:color w:val="000000"/>
          <w:kern w:val="28"/>
          <w:sz w:val="24"/>
          <w:szCs w:val="22"/>
          <w:lang w:eastAsia="en-US"/>
        </w:rPr>
      </w:pPr>
      <w:bookmarkStart w:id="0" w:name="_GoBack"/>
      <w:bookmarkEnd w:id="0"/>
      <w:r w:rsidRPr="00B667C4">
        <w:rPr>
          <w:rFonts w:asciiTheme="minorHAnsi" w:eastAsia="Times New Roman" w:hAnsiTheme="minorHAnsi" w:cstheme="minorHAnsi"/>
          <w:b/>
          <w:caps w:val="0"/>
          <w:color w:val="000000"/>
          <w:kern w:val="28"/>
          <w:sz w:val="24"/>
          <w:szCs w:val="22"/>
          <w:lang w:eastAsia="en-US"/>
        </w:rPr>
        <w:t>Integrating Africa</w:t>
      </w:r>
      <w:r w:rsidR="00FA6506" w:rsidRPr="00B667C4">
        <w:rPr>
          <w:rFonts w:asciiTheme="minorHAnsi" w:eastAsia="Times New Roman" w:hAnsiTheme="minorHAnsi" w:cstheme="minorHAnsi"/>
          <w:b/>
          <w:caps w:val="0"/>
          <w:color w:val="000000"/>
          <w:kern w:val="28"/>
          <w:sz w:val="24"/>
          <w:szCs w:val="22"/>
          <w:lang w:eastAsia="en-US"/>
        </w:rPr>
        <w:t xml:space="preserve">: </w:t>
      </w:r>
      <w:r w:rsidRPr="00B667C4">
        <w:rPr>
          <w:rFonts w:asciiTheme="minorHAnsi" w:eastAsia="Times New Roman" w:hAnsiTheme="minorHAnsi" w:cstheme="minorHAnsi"/>
          <w:b/>
          <w:caps w:val="0"/>
          <w:color w:val="000000"/>
          <w:kern w:val="28"/>
          <w:sz w:val="24"/>
          <w:szCs w:val="22"/>
          <w:lang w:eastAsia="en-US"/>
        </w:rPr>
        <w:t>Trade Policy Re</w:t>
      </w:r>
      <w:r w:rsidR="004132E5" w:rsidRPr="00B667C4">
        <w:rPr>
          <w:rFonts w:asciiTheme="minorHAnsi" w:eastAsia="Times New Roman" w:hAnsiTheme="minorHAnsi" w:cstheme="minorHAnsi"/>
          <w:b/>
          <w:caps w:val="0"/>
          <w:color w:val="000000"/>
          <w:kern w:val="28"/>
          <w:sz w:val="24"/>
          <w:szCs w:val="22"/>
          <w:lang w:eastAsia="en-US"/>
        </w:rPr>
        <w:t xml:space="preserve">search </w:t>
      </w:r>
      <w:r w:rsidR="004F7178" w:rsidRPr="00B667C4">
        <w:rPr>
          <w:rFonts w:asciiTheme="minorHAnsi" w:eastAsia="Times New Roman" w:hAnsiTheme="minorHAnsi" w:cstheme="minorHAnsi"/>
          <w:b/>
          <w:caps w:val="0"/>
          <w:color w:val="000000"/>
          <w:kern w:val="28"/>
          <w:sz w:val="24"/>
          <w:szCs w:val="22"/>
          <w:lang w:eastAsia="en-US"/>
        </w:rPr>
        <w:t>Challenges</w:t>
      </w:r>
      <w:r w:rsidR="008B2A32" w:rsidRPr="00B667C4">
        <w:rPr>
          <w:rFonts w:asciiTheme="minorHAnsi" w:eastAsia="Times New Roman" w:hAnsiTheme="minorHAnsi" w:cstheme="minorHAnsi"/>
          <w:b/>
          <w:caps w:val="0"/>
          <w:color w:val="000000"/>
          <w:kern w:val="28"/>
          <w:sz w:val="24"/>
          <w:szCs w:val="22"/>
          <w:vertAlign w:val="superscript"/>
          <w:lang w:eastAsia="en-US"/>
        </w:rPr>
        <w:t>#</w:t>
      </w:r>
    </w:p>
    <w:p w14:paraId="1A5C916C" w14:textId="21ABAFFB" w:rsidR="005A443F" w:rsidRPr="00B667C4" w:rsidRDefault="005A443F" w:rsidP="003163C6">
      <w:pPr>
        <w:pStyle w:val="Title2"/>
        <w:spacing w:after="120" w:line="276" w:lineRule="auto"/>
        <w:rPr>
          <w:rFonts w:asciiTheme="minorHAnsi" w:hAnsiTheme="minorHAnsi" w:cstheme="minorHAnsi"/>
          <w:caps w:val="0"/>
          <w:color w:val="000000"/>
          <w:sz w:val="22"/>
          <w:szCs w:val="22"/>
        </w:rPr>
      </w:pPr>
      <w:r w:rsidRPr="00B667C4">
        <w:rPr>
          <w:rFonts w:asciiTheme="minorHAnsi" w:hAnsiTheme="minorHAnsi" w:cstheme="minorHAnsi"/>
          <w:caps w:val="0"/>
          <w:color w:val="000000"/>
          <w:sz w:val="22"/>
          <w:szCs w:val="22"/>
        </w:rPr>
        <w:t>Bernard Hoekman</w:t>
      </w:r>
      <w:r w:rsidR="005D20D3" w:rsidRPr="00B667C4">
        <w:rPr>
          <w:rFonts w:asciiTheme="minorHAnsi" w:hAnsiTheme="minorHAnsi" w:cstheme="minorHAnsi"/>
          <w:caps w:val="0"/>
          <w:color w:val="000000"/>
          <w:sz w:val="22"/>
          <w:szCs w:val="22"/>
        </w:rPr>
        <w:t>*</w:t>
      </w:r>
      <w:r w:rsidR="00612BED" w:rsidRPr="00B667C4">
        <w:rPr>
          <w:rFonts w:asciiTheme="minorHAnsi" w:hAnsiTheme="minorHAnsi" w:cstheme="minorHAnsi"/>
          <w:caps w:val="0"/>
          <w:color w:val="000000"/>
          <w:sz w:val="22"/>
          <w:szCs w:val="22"/>
        </w:rPr>
        <w:t xml:space="preserve"> </w:t>
      </w:r>
    </w:p>
    <w:p w14:paraId="6C438A50" w14:textId="22561EF4" w:rsidR="004132E5" w:rsidRPr="00B667C4" w:rsidRDefault="004132E5" w:rsidP="003163C6">
      <w:pPr>
        <w:spacing w:after="120" w:line="276" w:lineRule="auto"/>
        <w:jc w:val="center"/>
        <w:rPr>
          <w:rFonts w:asciiTheme="minorHAnsi" w:hAnsiTheme="minorHAnsi" w:cstheme="minorHAnsi"/>
          <w:sz w:val="22"/>
          <w:lang w:eastAsia="en-GB"/>
        </w:rPr>
      </w:pPr>
      <w:r w:rsidRPr="00B667C4">
        <w:rPr>
          <w:rFonts w:asciiTheme="minorHAnsi" w:hAnsiTheme="minorHAnsi" w:cstheme="minorHAnsi"/>
          <w:sz w:val="22"/>
          <w:lang w:eastAsia="en-GB"/>
        </w:rPr>
        <w:t>Dominique Njinkeu</w:t>
      </w:r>
      <w:r w:rsidR="005D20D3" w:rsidRPr="00B667C4">
        <w:rPr>
          <w:rFonts w:asciiTheme="minorHAnsi" w:hAnsiTheme="minorHAnsi" w:cstheme="minorHAnsi"/>
          <w:sz w:val="22"/>
          <w:lang w:eastAsia="en-GB"/>
        </w:rPr>
        <w:t xml:space="preserve">** </w:t>
      </w:r>
    </w:p>
    <w:p w14:paraId="49B91081" w14:textId="45A9552A" w:rsidR="00E64F0A" w:rsidRPr="00B667C4" w:rsidRDefault="00E64F0A" w:rsidP="003163C6">
      <w:pPr>
        <w:spacing w:after="120" w:line="276" w:lineRule="auto"/>
        <w:jc w:val="center"/>
        <w:rPr>
          <w:rFonts w:asciiTheme="minorHAnsi" w:hAnsiTheme="minorHAnsi" w:cstheme="minorHAnsi"/>
          <w:b/>
          <w:color w:val="000000"/>
          <w:sz w:val="22"/>
          <w:lang w:eastAsia="en-GB"/>
        </w:rPr>
      </w:pPr>
    </w:p>
    <w:p w14:paraId="49566B5F" w14:textId="0617C912" w:rsidR="006B6537" w:rsidRPr="00B667C4" w:rsidRDefault="00DA5887" w:rsidP="003163C6">
      <w:pPr>
        <w:spacing w:after="120" w:line="276" w:lineRule="auto"/>
        <w:jc w:val="center"/>
        <w:rPr>
          <w:rFonts w:asciiTheme="minorHAnsi" w:hAnsiTheme="minorHAnsi" w:cstheme="minorHAnsi"/>
          <w:color w:val="000000"/>
          <w:sz w:val="22"/>
          <w:lang w:eastAsia="en-GB"/>
        </w:rPr>
      </w:pPr>
      <w:r w:rsidRPr="00B667C4">
        <w:rPr>
          <w:rFonts w:asciiTheme="minorHAnsi" w:hAnsiTheme="minorHAnsi" w:cstheme="minorHAnsi"/>
          <w:color w:val="000000"/>
          <w:sz w:val="22"/>
          <w:lang w:eastAsia="en-GB"/>
        </w:rPr>
        <w:t>Revised</w:t>
      </w:r>
      <w:r w:rsidR="00393E66" w:rsidRPr="00B667C4">
        <w:rPr>
          <w:rFonts w:asciiTheme="minorHAnsi" w:hAnsiTheme="minorHAnsi" w:cstheme="minorHAnsi"/>
          <w:color w:val="000000"/>
          <w:sz w:val="22"/>
          <w:lang w:eastAsia="en-GB"/>
        </w:rPr>
        <w:t>:</w:t>
      </w:r>
      <w:r w:rsidR="008E5055" w:rsidRPr="00B667C4">
        <w:rPr>
          <w:rFonts w:asciiTheme="minorHAnsi" w:hAnsiTheme="minorHAnsi" w:cstheme="minorHAnsi"/>
          <w:color w:val="000000"/>
          <w:sz w:val="22"/>
          <w:lang w:eastAsia="en-GB"/>
        </w:rPr>
        <w:t xml:space="preserve"> February </w:t>
      </w:r>
      <w:r w:rsidR="00F3640B" w:rsidRPr="00B667C4">
        <w:rPr>
          <w:rFonts w:asciiTheme="minorHAnsi" w:hAnsiTheme="minorHAnsi" w:cstheme="minorHAnsi"/>
          <w:color w:val="000000"/>
          <w:sz w:val="22"/>
          <w:lang w:eastAsia="en-GB"/>
        </w:rPr>
        <w:t>1</w:t>
      </w:r>
      <w:r w:rsidR="009F3634" w:rsidRPr="00B667C4">
        <w:rPr>
          <w:rFonts w:asciiTheme="minorHAnsi" w:hAnsiTheme="minorHAnsi" w:cstheme="minorHAnsi"/>
          <w:color w:val="000000"/>
          <w:sz w:val="22"/>
          <w:lang w:eastAsia="en-GB"/>
        </w:rPr>
        <w:t>6</w:t>
      </w:r>
      <w:r w:rsidR="008E5055" w:rsidRPr="00B667C4">
        <w:rPr>
          <w:rFonts w:asciiTheme="minorHAnsi" w:hAnsiTheme="minorHAnsi" w:cstheme="minorHAnsi"/>
          <w:color w:val="000000"/>
          <w:sz w:val="22"/>
          <w:lang w:eastAsia="en-GB"/>
        </w:rPr>
        <w:t>, 2017</w:t>
      </w:r>
    </w:p>
    <w:p w14:paraId="1361FD72" w14:textId="77777777" w:rsidR="00813DB2" w:rsidRPr="00B667C4" w:rsidRDefault="00813DB2" w:rsidP="003163C6">
      <w:pPr>
        <w:spacing w:after="120" w:line="276" w:lineRule="auto"/>
        <w:rPr>
          <w:rFonts w:asciiTheme="minorHAnsi" w:hAnsiTheme="minorHAnsi" w:cstheme="minorHAnsi"/>
          <w:b/>
          <w:color w:val="000000"/>
          <w:sz w:val="22"/>
        </w:rPr>
      </w:pPr>
    </w:p>
    <w:p w14:paraId="4F86DE41" w14:textId="77777777" w:rsidR="005D20D3" w:rsidRPr="00B667C4" w:rsidRDefault="005D20D3" w:rsidP="003163C6">
      <w:pPr>
        <w:spacing w:after="120" w:line="276" w:lineRule="auto"/>
        <w:rPr>
          <w:rFonts w:asciiTheme="minorHAnsi" w:hAnsiTheme="minorHAnsi" w:cstheme="minorHAnsi"/>
          <w:b/>
          <w:color w:val="000000"/>
          <w:sz w:val="22"/>
        </w:rPr>
      </w:pPr>
    </w:p>
    <w:p w14:paraId="3A236FD9" w14:textId="77777777" w:rsidR="00FA4BD6" w:rsidRPr="00B667C4" w:rsidRDefault="00FA4BD6" w:rsidP="003163C6">
      <w:pPr>
        <w:spacing w:after="120" w:line="276" w:lineRule="auto"/>
        <w:rPr>
          <w:rFonts w:asciiTheme="minorHAnsi" w:hAnsiTheme="minorHAnsi" w:cstheme="minorHAnsi"/>
          <w:b/>
          <w:color w:val="000000"/>
          <w:sz w:val="22"/>
        </w:rPr>
      </w:pPr>
    </w:p>
    <w:p w14:paraId="7C86B2F1" w14:textId="77777777" w:rsidR="00FA4BD6" w:rsidRPr="00B667C4" w:rsidRDefault="00FA4BD6" w:rsidP="003163C6">
      <w:pPr>
        <w:spacing w:after="120" w:line="276" w:lineRule="auto"/>
        <w:rPr>
          <w:rFonts w:asciiTheme="minorHAnsi" w:hAnsiTheme="minorHAnsi" w:cstheme="minorHAnsi"/>
          <w:b/>
          <w:color w:val="000000"/>
          <w:sz w:val="22"/>
        </w:rPr>
      </w:pPr>
    </w:p>
    <w:p w14:paraId="04094B2B" w14:textId="20F58BBB" w:rsidR="005D20D3" w:rsidRPr="00B667C4" w:rsidRDefault="005D20D3" w:rsidP="003163C6">
      <w:pPr>
        <w:spacing w:after="120" w:line="276" w:lineRule="auto"/>
        <w:rPr>
          <w:rFonts w:asciiTheme="minorHAnsi" w:hAnsiTheme="minorHAnsi" w:cstheme="minorHAnsi"/>
          <w:color w:val="000000"/>
          <w:sz w:val="22"/>
        </w:rPr>
      </w:pPr>
      <w:r w:rsidRPr="00B667C4">
        <w:rPr>
          <w:rFonts w:asciiTheme="minorHAnsi" w:hAnsiTheme="minorHAnsi" w:cstheme="minorHAnsi"/>
          <w:b/>
          <w:color w:val="000000"/>
          <w:sz w:val="22"/>
        </w:rPr>
        <w:t xml:space="preserve">Abstract: </w:t>
      </w:r>
      <w:r w:rsidR="003512B4" w:rsidRPr="00B667C4">
        <w:rPr>
          <w:rFonts w:asciiTheme="minorHAnsi" w:hAnsiTheme="minorHAnsi" w:cstheme="minorHAnsi"/>
          <w:b/>
          <w:color w:val="000000"/>
          <w:sz w:val="22"/>
        </w:rPr>
        <w:t xml:space="preserve"> </w:t>
      </w:r>
      <w:r w:rsidR="003512B4" w:rsidRPr="00B667C4">
        <w:rPr>
          <w:rFonts w:asciiTheme="minorHAnsi" w:hAnsiTheme="minorHAnsi" w:cstheme="minorHAnsi"/>
          <w:sz w:val="22"/>
        </w:rPr>
        <w:t>Expanding the role of trade in economic activity in Africa is an important mechanism t</w:t>
      </w:r>
      <w:r w:rsidR="000D4B97" w:rsidRPr="00B667C4">
        <w:rPr>
          <w:rFonts w:asciiTheme="minorHAnsi" w:hAnsiTheme="minorHAnsi" w:cstheme="minorHAnsi"/>
          <w:sz w:val="22"/>
        </w:rPr>
        <w:t xml:space="preserve">o support </w:t>
      </w:r>
      <w:r w:rsidR="003512B4" w:rsidRPr="00B667C4">
        <w:rPr>
          <w:rFonts w:asciiTheme="minorHAnsi" w:hAnsiTheme="minorHAnsi" w:cstheme="minorHAnsi"/>
          <w:sz w:val="22"/>
        </w:rPr>
        <w:t>the real per capita income growth needed to achieve the 2030 global development agenda and the A</w:t>
      </w:r>
      <w:r w:rsidR="000D3491" w:rsidRPr="00B667C4">
        <w:rPr>
          <w:rFonts w:asciiTheme="minorHAnsi" w:hAnsiTheme="minorHAnsi" w:cstheme="minorHAnsi"/>
          <w:sz w:val="22"/>
        </w:rPr>
        <w:t>genda 2063 vision for Africa</w:t>
      </w:r>
      <w:r w:rsidR="003512B4" w:rsidRPr="00B667C4">
        <w:rPr>
          <w:rFonts w:asciiTheme="minorHAnsi" w:hAnsiTheme="minorHAnsi" w:cstheme="minorHAnsi"/>
          <w:sz w:val="22"/>
        </w:rPr>
        <w:t xml:space="preserve">. This paper discusses </w:t>
      </w:r>
      <w:r w:rsidR="000D3491" w:rsidRPr="00B667C4">
        <w:rPr>
          <w:rFonts w:asciiTheme="minorHAnsi" w:hAnsiTheme="minorHAnsi" w:cstheme="minorHAnsi"/>
          <w:sz w:val="22"/>
        </w:rPr>
        <w:t xml:space="preserve">recent research focusing on a key </w:t>
      </w:r>
      <w:r w:rsidR="003512B4" w:rsidRPr="00B667C4">
        <w:rPr>
          <w:rFonts w:asciiTheme="minorHAnsi" w:hAnsiTheme="minorHAnsi" w:cstheme="minorHAnsi"/>
          <w:sz w:val="22"/>
        </w:rPr>
        <w:t xml:space="preserve">policy dimension of leveraging trade to support </w:t>
      </w:r>
      <w:r w:rsidR="000D3491" w:rsidRPr="00B667C4">
        <w:rPr>
          <w:rFonts w:asciiTheme="minorHAnsi" w:hAnsiTheme="minorHAnsi" w:cstheme="minorHAnsi"/>
          <w:sz w:val="22"/>
        </w:rPr>
        <w:t xml:space="preserve">development—facilitating trade. It argues this requires </w:t>
      </w:r>
      <w:r w:rsidR="002F2872" w:rsidRPr="00B667C4">
        <w:rPr>
          <w:rFonts w:asciiTheme="minorHAnsi" w:hAnsiTheme="minorHAnsi" w:cstheme="minorHAnsi"/>
          <w:sz w:val="22"/>
        </w:rPr>
        <w:t xml:space="preserve">understanding better the </w:t>
      </w:r>
      <w:r w:rsidR="00F756C8" w:rsidRPr="00B667C4">
        <w:rPr>
          <w:rFonts w:asciiTheme="minorHAnsi" w:hAnsiTheme="minorHAnsi" w:cstheme="minorHAnsi"/>
          <w:sz w:val="22"/>
        </w:rPr>
        <w:t xml:space="preserve">reasons for high intra-African </w:t>
      </w:r>
      <w:r w:rsidR="000D3491" w:rsidRPr="00B667C4">
        <w:rPr>
          <w:rFonts w:asciiTheme="minorHAnsi" w:hAnsiTheme="minorHAnsi" w:cstheme="minorHAnsi"/>
          <w:sz w:val="22"/>
        </w:rPr>
        <w:t xml:space="preserve">trade costs. </w:t>
      </w:r>
      <w:r w:rsidR="002F2872" w:rsidRPr="00B667C4">
        <w:rPr>
          <w:rFonts w:asciiTheme="minorHAnsi" w:hAnsiTheme="minorHAnsi" w:cstheme="minorHAnsi"/>
          <w:sz w:val="22"/>
        </w:rPr>
        <w:t xml:space="preserve">Much of the recent research in this area has been on quantifying trade costs and their effects. </w:t>
      </w:r>
      <w:r w:rsidR="00F756C8" w:rsidRPr="00B667C4">
        <w:rPr>
          <w:rFonts w:asciiTheme="minorHAnsi" w:hAnsiTheme="minorHAnsi" w:cstheme="minorHAnsi"/>
          <w:sz w:val="22"/>
        </w:rPr>
        <w:t>This is important, but w</w:t>
      </w:r>
      <w:r w:rsidR="002F2872" w:rsidRPr="00B667C4">
        <w:rPr>
          <w:rFonts w:asciiTheme="minorHAnsi" w:hAnsiTheme="minorHAnsi" w:cstheme="minorHAnsi"/>
          <w:sz w:val="22"/>
        </w:rPr>
        <w:t xml:space="preserve">e argue that from a policy research perspective </w:t>
      </w:r>
      <w:r w:rsidR="00F756C8" w:rsidRPr="00B667C4">
        <w:rPr>
          <w:rFonts w:asciiTheme="minorHAnsi" w:hAnsiTheme="minorHAnsi" w:cstheme="minorHAnsi"/>
          <w:sz w:val="22"/>
        </w:rPr>
        <w:t xml:space="preserve">more </w:t>
      </w:r>
      <w:r w:rsidR="002F2872" w:rsidRPr="00B667C4">
        <w:rPr>
          <w:rFonts w:asciiTheme="minorHAnsi" w:hAnsiTheme="minorHAnsi" w:cstheme="minorHAnsi"/>
          <w:sz w:val="22"/>
        </w:rPr>
        <w:t xml:space="preserve">focus </w:t>
      </w:r>
      <w:r w:rsidR="00F756C8" w:rsidRPr="00B667C4">
        <w:rPr>
          <w:rFonts w:asciiTheme="minorHAnsi" w:hAnsiTheme="minorHAnsi" w:cstheme="minorHAnsi"/>
          <w:sz w:val="22"/>
        </w:rPr>
        <w:t xml:space="preserve">is needed </w:t>
      </w:r>
      <w:r w:rsidR="002F2872" w:rsidRPr="00B667C4">
        <w:rPr>
          <w:rFonts w:asciiTheme="minorHAnsi" w:hAnsiTheme="minorHAnsi" w:cstheme="minorHAnsi"/>
          <w:sz w:val="22"/>
        </w:rPr>
        <w:t xml:space="preserve">on the constituent </w:t>
      </w:r>
      <w:r w:rsidR="00F756C8" w:rsidRPr="00B667C4">
        <w:rPr>
          <w:rFonts w:asciiTheme="minorHAnsi" w:hAnsiTheme="minorHAnsi" w:cstheme="minorHAnsi"/>
          <w:sz w:val="22"/>
        </w:rPr>
        <w:t xml:space="preserve">elements </w:t>
      </w:r>
      <w:r w:rsidR="002F2872" w:rsidRPr="00B667C4">
        <w:rPr>
          <w:rFonts w:asciiTheme="minorHAnsi" w:hAnsiTheme="minorHAnsi" w:cstheme="minorHAnsi"/>
          <w:sz w:val="22"/>
        </w:rPr>
        <w:t xml:space="preserve">that </w:t>
      </w:r>
      <w:r w:rsidR="00F756C8" w:rsidRPr="00B667C4">
        <w:rPr>
          <w:rFonts w:asciiTheme="minorHAnsi" w:hAnsiTheme="minorHAnsi" w:cstheme="minorHAnsi"/>
          <w:sz w:val="22"/>
        </w:rPr>
        <w:t xml:space="preserve">jointly </w:t>
      </w:r>
      <w:r w:rsidR="00DD65A0" w:rsidRPr="00B667C4">
        <w:rPr>
          <w:rFonts w:asciiTheme="minorHAnsi" w:hAnsiTheme="minorHAnsi" w:cstheme="minorHAnsi"/>
          <w:sz w:val="22"/>
        </w:rPr>
        <w:t xml:space="preserve">determine </w:t>
      </w:r>
      <w:r w:rsidR="002F2872" w:rsidRPr="00B667C4">
        <w:rPr>
          <w:rFonts w:asciiTheme="minorHAnsi" w:hAnsiTheme="minorHAnsi" w:cstheme="minorHAnsi"/>
          <w:sz w:val="22"/>
        </w:rPr>
        <w:t>trade costs a</w:t>
      </w:r>
      <w:r w:rsidR="00DD65A0" w:rsidRPr="00B667C4">
        <w:rPr>
          <w:rFonts w:asciiTheme="minorHAnsi" w:hAnsiTheme="minorHAnsi" w:cstheme="minorHAnsi"/>
          <w:sz w:val="22"/>
        </w:rPr>
        <w:t xml:space="preserve">t any point in time and place, </w:t>
      </w:r>
      <w:r w:rsidR="00F756C8" w:rsidRPr="00B667C4">
        <w:rPr>
          <w:rFonts w:asciiTheme="minorHAnsi" w:hAnsiTheme="minorHAnsi" w:cstheme="minorHAnsi"/>
          <w:sz w:val="22"/>
        </w:rPr>
        <w:t xml:space="preserve">and the </w:t>
      </w:r>
      <w:r w:rsidR="002F2872" w:rsidRPr="00B667C4">
        <w:rPr>
          <w:rFonts w:asciiTheme="minorHAnsi" w:hAnsiTheme="minorHAnsi" w:cstheme="minorHAnsi"/>
          <w:sz w:val="22"/>
        </w:rPr>
        <w:t xml:space="preserve">design of mechanisms </w:t>
      </w:r>
      <w:r w:rsidR="00DD65A0" w:rsidRPr="00B667C4">
        <w:rPr>
          <w:rFonts w:asciiTheme="minorHAnsi" w:hAnsiTheme="minorHAnsi" w:cstheme="minorHAnsi"/>
          <w:sz w:val="22"/>
        </w:rPr>
        <w:t xml:space="preserve">to facilitate trade </w:t>
      </w:r>
      <w:r w:rsidR="002F2872" w:rsidRPr="00B667C4">
        <w:rPr>
          <w:rFonts w:asciiTheme="minorHAnsi" w:hAnsiTheme="minorHAnsi" w:cstheme="minorHAnsi"/>
          <w:sz w:val="22"/>
        </w:rPr>
        <w:t xml:space="preserve">that recognize the multidimensional nature of trade costs and </w:t>
      </w:r>
      <w:r w:rsidR="00DD65A0" w:rsidRPr="00B667C4">
        <w:rPr>
          <w:rFonts w:asciiTheme="minorHAnsi" w:hAnsiTheme="minorHAnsi" w:cstheme="minorHAnsi"/>
          <w:sz w:val="22"/>
        </w:rPr>
        <w:t xml:space="preserve">the associated </w:t>
      </w:r>
      <w:r w:rsidR="00F756C8" w:rsidRPr="00B667C4">
        <w:rPr>
          <w:rFonts w:asciiTheme="minorHAnsi" w:hAnsiTheme="minorHAnsi" w:cstheme="minorHAnsi"/>
          <w:sz w:val="22"/>
        </w:rPr>
        <w:t>political economy forces</w:t>
      </w:r>
      <w:r w:rsidR="00DD65A0" w:rsidRPr="00B667C4">
        <w:rPr>
          <w:rFonts w:asciiTheme="minorHAnsi" w:hAnsiTheme="minorHAnsi" w:cstheme="minorHAnsi"/>
          <w:sz w:val="22"/>
        </w:rPr>
        <w:t xml:space="preserve"> within and between countries, </w:t>
      </w:r>
      <w:r w:rsidR="00A40E66" w:rsidRPr="00B667C4">
        <w:rPr>
          <w:rFonts w:asciiTheme="minorHAnsi" w:hAnsiTheme="minorHAnsi" w:cstheme="minorHAnsi"/>
          <w:sz w:val="22"/>
        </w:rPr>
        <w:t xml:space="preserve">regional economic communities </w:t>
      </w:r>
      <w:r w:rsidR="00DD65A0" w:rsidRPr="00B667C4">
        <w:rPr>
          <w:rFonts w:asciiTheme="minorHAnsi" w:hAnsiTheme="minorHAnsi" w:cstheme="minorHAnsi"/>
          <w:sz w:val="22"/>
        </w:rPr>
        <w:t xml:space="preserve">and development agencies. </w:t>
      </w:r>
    </w:p>
    <w:p w14:paraId="455622F1" w14:textId="77777777" w:rsidR="005D20D3" w:rsidRPr="00B667C4" w:rsidRDefault="005D20D3" w:rsidP="003163C6">
      <w:pPr>
        <w:spacing w:after="120" w:line="276" w:lineRule="auto"/>
        <w:rPr>
          <w:rFonts w:asciiTheme="minorHAnsi" w:hAnsiTheme="minorHAnsi" w:cstheme="minorHAnsi"/>
          <w:color w:val="000000"/>
          <w:sz w:val="22"/>
        </w:rPr>
      </w:pPr>
    </w:p>
    <w:p w14:paraId="148763FA" w14:textId="23A1FB74" w:rsidR="005D20D3" w:rsidRPr="00B667C4" w:rsidRDefault="005D20D3" w:rsidP="003163C6">
      <w:pPr>
        <w:spacing w:after="120" w:line="276" w:lineRule="auto"/>
        <w:rPr>
          <w:rFonts w:asciiTheme="minorHAnsi" w:hAnsiTheme="minorHAnsi" w:cstheme="minorHAnsi"/>
          <w:color w:val="000000"/>
          <w:sz w:val="22"/>
        </w:rPr>
      </w:pPr>
      <w:r w:rsidRPr="00B667C4">
        <w:rPr>
          <w:rFonts w:asciiTheme="minorHAnsi" w:hAnsiTheme="minorHAnsi" w:cstheme="minorHAnsi"/>
          <w:b/>
          <w:color w:val="000000"/>
          <w:sz w:val="22"/>
        </w:rPr>
        <w:t xml:space="preserve">Keywords: </w:t>
      </w:r>
      <w:r w:rsidR="000D3491" w:rsidRPr="00B667C4">
        <w:rPr>
          <w:rFonts w:asciiTheme="minorHAnsi" w:hAnsiTheme="minorHAnsi" w:cstheme="minorHAnsi"/>
          <w:color w:val="000000"/>
          <w:sz w:val="22"/>
        </w:rPr>
        <w:t>trade costs; facilitation; regional integration; services; Africa</w:t>
      </w:r>
    </w:p>
    <w:p w14:paraId="6A949704" w14:textId="77777777" w:rsidR="000D3491" w:rsidRPr="00B667C4" w:rsidRDefault="000D3491" w:rsidP="003163C6">
      <w:pPr>
        <w:spacing w:after="120" w:line="276" w:lineRule="auto"/>
        <w:rPr>
          <w:rFonts w:asciiTheme="minorHAnsi" w:hAnsiTheme="minorHAnsi" w:cstheme="minorHAnsi"/>
          <w:color w:val="000000"/>
          <w:sz w:val="22"/>
        </w:rPr>
      </w:pPr>
    </w:p>
    <w:p w14:paraId="7E5129F1" w14:textId="77777777" w:rsidR="000D3491" w:rsidRPr="00B667C4" w:rsidRDefault="000D3491" w:rsidP="003163C6">
      <w:pPr>
        <w:spacing w:after="120" w:line="276" w:lineRule="auto"/>
        <w:rPr>
          <w:rFonts w:asciiTheme="minorHAnsi" w:hAnsiTheme="minorHAnsi" w:cstheme="minorHAnsi"/>
          <w:color w:val="000000"/>
          <w:sz w:val="22"/>
        </w:rPr>
      </w:pPr>
    </w:p>
    <w:p w14:paraId="51AC05FA" w14:textId="77777777" w:rsidR="004B2C2A" w:rsidRPr="00B667C4" w:rsidRDefault="004B2C2A" w:rsidP="003163C6">
      <w:pPr>
        <w:spacing w:after="120" w:line="276" w:lineRule="auto"/>
        <w:rPr>
          <w:rFonts w:asciiTheme="minorHAnsi" w:hAnsiTheme="minorHAnsi" w:cstheme="minorHAnsi"/>
          <w:color w:val="000000"/>
          <w:sz w:val="22"/>
        </w:rPr>
      </w:pPr>
    </w:p>
    <w:p w14:paraId="6E713B23" w14:textId="77777777" w:rsidR="00D4010E" w:rsidRPr="00B667C4" w:rsidRDefault="00D4010E" w:rsidP="003163C6">
      <w:pPr>
        <w:spacing w:after="120" w:line="276" w:lineRule="auto"/>
        <w:rPr>
          <w:rFonts w:asciiTheme="minorHAnsi" w:hAnsiTheme="minorHAnsi" w:cstheme="minorHAnsi"/>
          <w:color w:val="000000"/>
          <w:sz w:val="22"/>
        </w:rPr>
      </w:pPr>
    </w:p>
    <w:p w14:paraId="6D2EFABA" w14:textId="77777777" w:rsidR="00844409" w:rsidRPr="00B667C4" w:rsidRDefault="00844409" w:rsidP="003163C6">
      <w:pPr>
        <w:spacing w:after="120" w:line="276" w:lineRule="auto"/>
        <w:rPr>
          <w:rFonts w:asciiTheme="minorHAnsi" w:hAnsiTheme="minorHAnsi" w:cstheme="minorHAnsi"/>
          <w:color w:val="000000"/>
          <w:sz w:val="22"/>
        </w:rPr>
      </w:pPr>
    </w:p>
    <w:p w14:paraId="568BC2F5" w14:textId="77777777" w:rsidR="00FA4BD6" w:rsidRPr="00B667C4" w:rsidRDefault="00FA4BD6" w:rsidP="003163C6">
      <w:pPr>
        <w:spacing w:after="120" w:line="276" w:lineRule="auto"/>
        <w:rPr>
          <w:rFonts w:asciiTheme="minorHAnsi" w:hAnsiTheme="minorHAnsi" w:cstheme="minorHAnsi"/>
          <w:color w:val="000000"/>
          <w:sz w:val="22"/>
        </w:rPr>
      </w:pPr>
    </w:p>
    <w:p w14:paraId="106F100B" w14:textId="596962D7" w:rsidR="005D20D3" w:rsidRPr="00B667C4" w:rsidRDefault="008B2A32" w:rsidP="003163C6">
      <w:pPr>
        <w:spacing w:after="120"/>
        <w:rPr>
          <w:rFonts w:asciiTheme="minorHAnsi" w:hAnsiTheme="minorHAnsi" w:cstheme="minorHAnsi"/>
          <w:color w:val="000000"/>
          <w:sz w:val="22"/>
        </w:rPr>
      </w:pPr>
      <w:r w:rsidRPr="00B667C4">
        <w:rPr>
          <w:rFonts w:asciiTheme="minorHAnsi" w:hAnsiTheme="minorHAnsi" w:cstheme="minorHAnsi"/>
          <w:color w:val="000000"/>
          <w:sz w:val="22"/>
          <w:vertAlign w:val="superscript"/>
        </w:rPr>
        <w:t xml:space="preserve"># </w:t>
      </w:r>
      <w:r w:rsidR="004B2C2A" w:rsidRPr="00B667C4">
        <w:rPr>
          <w:rFonts w:asciiTheme="minorHAnsi" w:hAnsiTheme="minorHAnsi" w:cstheme="minorHAnsi"/>
          <w:color w:val="000000"/>
          <w:sz w:val="22"/>
        </w:rPr>
        <w:t>An earlier version of this paper was p</w:t>
      </w:r>
      <w:r w:rsidRPr="00B667C4">
        <w:rPr>
          <w:rFonts w:asciiTheme="minorHAnsi" w:hAnsiTheme="minorHAnsi" w:cstheme="minorHAnsi"/>
          <w:color w:val="000000"/>
          <w:sz w:val="22"/>
        </w:rPr>
        <w:t>re</w:t>
      </w:r>
      <w:r w:rsidR="009B4454" w:rsidRPr="00B667C4">
        <w:rPr>
          <w:rFonts w:asciiTheme="minorHAnsi" w:hAnsiTheme="minorHAnsi" w:cstheme="minorHAnsi"/>
          <w:color w:val="000000"/>
          <w:sz w:val="22"/>
        </w:rPr>
        <w:t xml:space="preserve">sented at </w:t>
      </w:r>
      <w:r w:rsidRPr="00B667C4">
        <w:rPr>
          <w:rFonts w:asciiTheme="minorHAnsi" w:hAnsiTheme="minorHAnsi" w:cstheme="minorHAnsi"/>
          <w:color w:val="000000"/>
          <w:sz w:val="22"/>
        </w:rPr>
        <w:t xml:space="preserve">the </w:t>
      </w:r>
      <w:r w:rsidR="00D97B09" w:rsidRPr="00B667C4">
        <w:rPr>
          <w:rFonts w:asciiTheme="minorHAnsi" w:hAnsiTheme="minorHAnsi" w:cstheme="minorHAnsi"/>
          <w:color w:val="000000"/>
          <w:sz w:val="22"/>
        </w:rPr>
        <w:t>African Economic Research Consortium research workshop on ‘Integrating African Markets: The Way Forward’, May 29-June 2, 2016 Nairobi, Kenya</w:t>
      </w:r>
      <w:r w:rsidR="009B4454" w:rsidRPr="00B667C4">
        <w:rPr>
          <w:rFonts w:asciiTheme="minorHAnsi" w:hAnsiTheme="minorHAnsi" w:cstheme="minorHAnsi"/>
          <w:color w:val="000000"/>
          <w:sz w:val="22"/>
        </w:rPr>
        <w:t>. We are grateful to</w:t>
      </w:r>
      <w:r w:rsidR="00C75C4E" w:rsidRPr="00B667C4">
        <w:rPr>
          <w:rFonts w:asciiTheme="minorHAnsi" w:hAnsiTheme="minorHAnsi" w:cstheme="minorHAnsi"/>
          <w:color w:val="000000"/>
          <w:sz w:val="22"/>
        </w:rPr>
        <w:t xml:space="preserve"> Leonce Ndikumana</w:t>
      </w:r>
      <w:r w:rsidR="002D5005" w:rsidRPr="00B667C4">
        <w:rPr>
          <w:rFonts w:asciiTheme="minorHAnsi" w:hAnsiTheme="minorHAnsi" w:cstheme="minorHAnsi"/>
          <w:color w:val="000000"/>
          <w:sz w:val="22"/>
        </w:rPr>
        <w:t xml:space="preserve">, Sekou Falil Doumbouya and participants </w:t>
      </w:r>
      <w:r w:rsidR="00111E5C" w:rsidRPr="00B667C4">
        <w:rPr>
          <w:rFonts w:asciiTheme="minorHAnsi" w:hAnsiTheme="minorHAnsi" w:cstheme="minorHAnsi"/>
          <w:color w:val="000000"/>
          <w:sz w:val="22"/>
        </w:rPr>
        <w:t>in</w:t>
      </w:r>
      <w:r w:rsidR="002D5005" w:rsidRPr="00B667C4">
        <w:rPr>
          <w:rFonts w:asciiTheme="minorHAnsi" w:hAnsiTheme="minorHAnsi" w:cstheme="minorHAnsi"/>
          <w:color w:val="000000"/>
          <w:sz w:val="22"/>
        </w:rPr>
        <w:t xml:space="preserve"> the plenary session on May 29, 2016</w:t>
      </w:r>
      <w:r w:rsidR="00C75C4E" w:rsidRPr="00B667C4">
        <w:rPr>
          <w:rFonts w:asciiTheme="minorHAnsi" w:hAnsiTheme="minorHAnsi" w:cstheme="minorHAnsi"/>
          <w:color w:val="000000"/>
          <w:sz w:val="22"/>
        </w:rPr>
        <w:t xml:space="preserve"> </w:t>
      </w:r>
      <w:r w:rsidR="009B4454" w:rsidRPr="00B667C4">
        <w:rPr>
          <w:rFonts w:asciiTheme="minorHAnsi" w:hAnsiTheme="minorHAnsi" w:cstheme="minorHAnsi"/>
          <w:color w:val="000000"/>
          <w:sz w:val="22"/>
        </w:rPr>
        <w:t>for helpful comments o</w:t>
      </w:r>
      <w:r w:rsidR="004B2C2A" w:rsidRPr="00B667C4">
        <w:rPr>
          <w:rFonts w:asciiTheme="minorHAnsi" w:hAnsiTheme="minorHAnsi" w:cstheme="minorHAnsi"/>
          <w:color w:val="000000"/>
          <w:sz w:val="22"/>
        </w:rPr>
        <w:t>n</w:t>
      </w:r>
      <w:r w:rsidR="009B4454" w:rsidRPr="00B667C4">
        <w:rPr>
          <w:rFonts w:asciiTheme="minorHAnsi" w:hAnsiTheme="minorHAnsi" w:cstheme="minorHAnsi"/>
          <w:color w:val="000000"/>
          <w:sz w:val="22"/>
        </w:rPr>
        <w:t xml:space="preserve"> the conference draft.</w:t>
      </w:r>
    </w:p>
    <w:p w14:paraId="25899567" w14:textId="305B0D1E" w:rsidR="005D20D3" w:rsidRPr="00B667C4" w:rsidRDefault="005D20D3" w:rsidP="003163C6">
      <w:pPr>
        <w:spacing w:after="120"/>
        <w:rPr>
          <w:rFonts w:asciiTheme="minorHAnsi" w:hAnsiTheme="minorHAnsi" w:cstheme="minorHAnsi"/>
          <w:color w:val="000000"/>
          <w:sz w:val="22"/>
        </w:rPr>
      </w:pPr>
      <w:r w:rsidRPr="00B667C4">
        <w:rPr>
          <w:rFonts w:asciiTheme="minorHAnsi" w:hAnsiTheme="minorHAnsi" w:cstheme="minorHAnsi"/>
          <w:color w:val="000000"/>
          <w:sz w:val="22"/>
        </w:rPr>
        <w:t xml:space="preserve">* </w:t>
      </w:r>
      <w:r w:rsidR="000B70AA" w:rsidRPr="00B667C4">
        <w:rPr>
          <w:rFonts w:asciiTheme="minorHAnsi" w:hAnsiTheme="minorHAnsi" w:cstheme="minorHAnsi"/>
          <w:color w:val="000000"/>
          <w:sz w:val="22"/>
        </w:rPr>
        <w:t xml:space="preserve">Professor, </w:t>
      </w:r>
      <w:r w:rsidRPr="00B667C4">
        <w:rPr>
          <w:rFonts w:asciiTheme="minorHAnsi" w:hAnsiTheme="minorHAnsi" w:cstheme="minorHAnsi"/>
          <w:color w:val="000000"/>
          <w:sz w:val="22"/>
        </w:rPr>
        <w:t>Robert Schuman Centre for Advanced Studies</w:t>
      </w:r>
      <w:r w:rsidR="000B70AA" w:rsidRPr="00B667C4">
        <w:rPr>
          <w:rFonts w:asciiTheme="minorHAnsi" w:hAnsiTheme="minorHAnsi" w:cstheme="minorHAnsi"/>
          <w:color w:val="000000"/>
          <w:sz w:val="22"/>
        </w:rPr>
        <w:t>, EUI a</w:t>
      </w:r>
      <w:r w:rsidRPr="00B667C4">
        <w:rPr>
          <w:rFonts w:asciiTheme="minorHAnsi" w:hAnsiTheme="minorHAnsi" w:cstheme="minorHAnsi"/>
          <w:color w:val="000000"/>
          <w:sz w:val="22"/>
        </w:rPr>
        <w:t>nd CEPR</w:t>
      </w:r>
      <w:r w:rsidR="004B2C2A" w:rsidRPr="00B667C4">
        <w:rPr>
          <w:rFonts w:asciiTheme="minorHAnsi" w:hAnsiTheme="minorHAnsi" w:cstheme="minorHAnsi"/>
          <w:color w:val="000000"/>
          <w:sz w:val="22"/>
        </w:rPr>
        <w:t>.</w:t>
      </w:r>
    </w:p>
    <w:p w14:paraId="0FC74174" w14:textId="6FC633F1" w:rsidR="005D20D3" w:rsidRPr="00B667C4" w:rsidRDefault="005D20D3" w:rsidP="003163C6">
      <w:pPr>
        <w:spacing w:after="120"/>
        <w:rPr>
          <w:rFonts w:asciiTheme="minorHAnsi" w:hAnsiTheme="minorHAnsi" w:cstheme="minorHAnsi"/>
          <w:sz w:val="22"/>
          <w:lang w:eastAsia="en-GB"/>
        </w:rPr>
      </w:pPr>
      <w:r w:rsidRPr="00B667C4">
        <w:rPr>
          <w:rFonts w:asciiTheme="minorHAnsi" w:hAnsiTheme="minorHAnsi" w:cstheme="minorHAnsi"/>
          <w:sz w:val="22"/>
          <w:lang w:eastAsia="en-GB"/>
        </w:rPr>
        <w:t xml:space="preserve">** </w:t>
      </w:r>
      <w:r w:rsidR="00E64F0A" w:rsidRPr="00B667C4">
        <w:rPr>
          <w:rFonts w:asciiTheme="minorHAnsi" w:hAnsiTheme="minorHAnsi" w:cstheme="minorHAnsi"/>
          <w:sz w:val="22"/>
          <w:lang w:eastAsia="en-GB"/>
        </w:rPr>
        <w:t xml:space="preserve">Senior </w:t>
      </w:r>
      <w:r w:rsidRPr="00B667C4">
        <w:rPr>
          <w:rFonts w:asciiTheme="minorHAnsi" w:hAnsiTheme="minorHAnsi" w:cstheme="minorHAnsi"/>
          <w:sz w:val="22"/>
          <w:lang w:eastAsia="en-GB"/>
        </w:rPr>
        <w:t xml:space="preserve">Programme Associate, Global Governance Programme, EUI and </w:t>
      </w:r>
      <w:r w:rsidR="002D5005" w:rsidRPr="00B667C4">
        <w:rPr>
          <w:rFonts w:asciiTheme="minorHAnsi" w:hAnsiTheme="minorHAnsi" w:cstheme="minorHAnsi"/>
          <w:sz w:val="22"/>
          <w:lang w:eastAsia="en-GB"/>
        </w:rPr>
        <w:t>Executive Director</w:t>
      </w:r>
      <w:r w:rsidR="000D4B97" w:rsidRPr="00B667C4">
        <w:rPr>
          <w:rFonts w:asciiTheme="minorHAnsi" w:hAnsiTheme="minorHAnsi" w:cstheme="minorHAnsi"/>
          <w:sz w:val="22"/>
          <w:lang w:eastAsia="en-GB"/>
        </w:rPr>
        <w:t>,</w:t>
      </w:r>
      <w:r w:rsidR="002D5005" w:rsidRPr="00B667C4">
        <w:rPr>
          <w:rFonts w:asciiTheme="minorHAnsi" w:hAnsiTheme="minorHAnsi" w:cstheme="minorHAnsi"/>
          <w:sz w:val="22"/>
          <w:lang w:eastAsia="en-GB"/>
        </w:rPr>
        <w:t xml:space="preserve"> </w:t>
      </w:r>
      <w:r w:rsidRPr="00B667C4">
        <w:rPr>
          <w:rFonts w:asciiTheme="minorHAnsi" w:hAnsiTheme="minorHAnsi" w:cstheme="minorHAnsi"/>
          <w:sz w:val="22"/>
          <w:lang w:eastAsia="en-GB"/>
        </w:rPr>
        <w:t>A</w:t>
      </w:r>
      <w:r w:rsidR="002D5005" w:rsidRPr="00B667C4">
        <w:rPr>
          <w:rFonts w:asciiTheme="minorHAnsi" w:hAnsiTheme="minorHAnsi" w:cstheme="minorHAnsi"/>
          <w:sz w:val="22"/>
          <w:lang w:eastAsia="en-GB"/>
        </w:rPr>
        <w:t>frica</w:t>
      </w:r>
      <w:r w:rsidR="008D78EA" w:rsidRPr="00B667C4">
        <w:rPr>
          <w:rFonts w:asciiTheme="minorHAnsi" w:hAnsiTheme="minorHAnsi" w:cstheme="minorHAnsi"/>
          <w:sz w:val="22"/>
          <w:lang w:eastAsia="en-GB"/>
        </w:rPr>
        <w:t>n</w:t>
      </w:r>
      <w:r w:rsidR="002D5005" w:rsidRPr="00B667C4">
        <w:rPr>
          <w:rFonts w:asciiTheme="minorHAnsi" w:hAnsiTheme="minorHAnsi" w:cstheme="minorHAnsi"/>
          <w:sz w:val="22"/>
          <w:lang w:eastAsia="en-GB"/>
        </w:rPr>
        <w:t xml:space="preserve"> Trade and Sustainable Development (A</w:t>
      </w:r>
      <w:r w:rsidRPr="00B667C4">
        <w:rPr>
          <w:rFonts w:asciiTheme="minorHAnsi" w:hAnsiTheme="minorHAnsi" w:cstheme="minorHAnsi"/>
          <w:sz w:val="22"/>
          <w:lang w:eastAsia="en-GB"/>
        </w:rPr>
        <w:t>FTSD</w:t>
      </w:r>
      <w:r w:rsidR="002D5005" w:rsidRPr="00B667C4">
        <w:rPr>
          <w:rFonts w:asciiTheme="minorHAnsi" w:hAnsiTheme="minorHAnsi" w:cstheme="minorHAnsi"/>
          <w:sz w:val="22"/>
          <w:lang w:eastAsia="en-GB"/>
        </w:rPr>
        <w:t>)</w:t>
      </w:r>
      <w:r w:rsidR="004B2C2A" w:rsidRPr="00B667C4">
        <w:rPr>
          <w:rFonts w:asciiTheme="minorHAnsi" w:hAnsiTheme="minorHAnsi" w:cstheme="minorHAnsi"/>
          <w:sz w:val="22"/>
          <w:lang w:eastAsia="en-GB"/>
        </w:rPr>
        <w:t>.</w:t>
      </w:r>
    </w:p>
    <w:p w14:paraId="66921992" w14:textId="77777777" w:rsidR="00F3640B" w:rsidRPr="00B667C4" w:rsidRDefault="00F3640B" w:rsidP="003163C6">
      <w:pPr>
        <w:spacing w:after="120" w:line="276" w:lineRule="auto"/>
        <w:rPr>
          <w:rFonts w:asciiTheme="minorHAnsi" w:hAnsiTheme="minorHAnsi" w:cstheme="minorHAnsi"/>
          <w:b/>
          <w:color w:val="000000"/>
          <w:sz w:val="22"/>
        </w:rPr>
        <w:sectPr w:rsidR="00F3640B" w:rsidRPr="00B667C4" w:rsidSect="00DA15D9">
          <w:headerReference w:type="even" r:id="rId8"/>
          <w:footerReference w:type="even" r:id="rId9"/>
          <w:footerReference w:type="default" r:id="rId10"/>
          <w:headerReference w:type="first" r:id="rId11"/>
          <w:pgSz w:w="12240" w:h="15840" w:code="1"/>
          <w:pgMar w:top="1440" w:right="1440" w:bottom="1440" w:left="1440" w:header="708" w:footer="708" w:gutter="0"/>
          <w:pgNumType w:start="1"/>
          <w:cols w:space="708"/>
          <w:titlePg/>
          <w:docGrid w:linePitch="360"/>
        </w:sectPr>
      </w:pPr>
    </w:p>
    <w:p w14:paraId="3144C167" w14:textId="3D7DCA89" w:rsidR="004F5211" w:rsidRPr="00B667C4" w:rsidRDefault="004F5211" w:rsidP="003163C6">
      <w:pPr>
        <w:spacing w:after="120" w:line="276" w:lineRule="auto"/>
        <w:rPr>
          <w:rFonts w:asciiTheme="minorHAnsi" w:hAnsiTheme="minorHAnsi" w:cstheme="minorHAnsi"/>
          <w:color w:val="000000"/>
          <w:sz w:val="22"/>
        </w:rPr>
      </w:pPr>
      <w:r w:rsidRPr="00B667C4">
        <w:rPr>
          <w:rFonts w:asciiTheme="minorHAnsi" w:hAnsiTheme="minorHAnsi" w:cstheme="minorHAnsi"/>
          <w:b/>
          <w:color w:val="000000"/>
          <w:sz w:val="22"/>
        </w:rPr>
        <w:lastRenderedPageBreak/>
        <w:t xml:space="preserve">Introduction </w:t>
      </w:r>
    </w:p>
    <w:p w14:paraId="35BC4EBB" w14:textId="289F53DE" w:rsidR="003841F7" w:rsidRPr="00B667C4" w:rsidRDefault="00CF082E" w:rsidP="003F5539">
      <w:pPr>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 xml:space="preserve">The structure of world trade has changed significantly since the 1980s. </w:t>
      </w:r>
      <w:r w:rsidR="003841F7" w:rsidRPr="00B667C4">
        <w:rPr>
          <w:rFonts w:asciiTheme="minorHAnsi" w:hAnsiTheme="minorHAnsi" w:cstheme="minorHAnsi"/>
          <w:color w:val="000000"/>
          <w:sz w:val="22"/>
        </w:rPr>
        <w:t xml:space="preserve">Global trade </w:t>
      </w:r>
      <w:r w:rsidRPr="00B667C4">
        <w:rPr>
          <w:rFonts w:asciiTheme="minorHAnsi" w:hAnsiTheme="minorHAnsi" w:cstheme="minorHAnsi"/>
          <w:color w:val="000000"/>
          <w:sz w:val="22"/>
        </w:rPr>
        <w:t xml:space="preserve">has grown </w:t>
      </w:r>
      <w:r w:rsidR="00486008" w:rsidRPr="00B667C4">
        <w:rPr>
          <w:rFonts w:asciiTheme="minorHAnsi" w:hAnsiTheme="minorHAnsi" w:cstheme="minorHAnsi"/>
          <w:color w:val="000000"/>
          <w:sz w:val="22"/>
        </w:rPr>
        <w:t>tremendously</w:t>
      </w:r>
      <w:r w:rsidRPr="00B667C4">
        <w:rPr>
          <w:rFonts w:asciiTheme="minorHAnsi" w:hAnsiTheme="minorHAnsi" w:cstheme="minorHAnsi"/>
          <w:color w:val="000000"/>
          <w:sz w:val="22"/>
        </w:rPr>
        <w:t xml:space="preserve">, </w:t>
      </w:r>
      <w:r w:rsidR="00F9585B" w:rsidRPr="00B667C4">
        <w:rPr>
          <w:rFonts w:asciiTheme="minorHAnsi" w:hAnsiTheme="minorHAnsi" w:cstheme="minorHAnsi"/>
          <w:color w:val="000000"/>
          <w:sz w:val="22"/>
        </w:rPr>
        <w:t xml:space="preserve">driven by </w:t>
      </w:r>
      <w:r w:rsidRPr="00B667C4">
        <w:rPr>
          <w:rFonts w:asciiTheme="minorHAnsi" w:hAnsiTheme="minorHAnsi" w:cstheme="minorHAnsi"/>
          <w:color w:val="000000"/>
          <w:sz w:val="22"/>
        </w:rPr>
        <w:t xml:space="preserve">a complementary mix of policy reforms that opened economies to greater foreign competition and technological changes that </w:t>
      </w:r>
      <w:r w:rsidR="00FA4BD6" w:rsidRPr="00B667C4">
        <w:rPr>
          <w:rFonts w:asciiTheme="minorHAnsi" w:hAnsiTheme="minorHAnsi" w:cstheme="minorHAnsi"/>
          <w:color w:val="000000"/>
          <w:sz w:val="22"/>
        </w:rPr>
        <w:t xml:space="preserve">has driven </w:t>
      </w:r>
      <w:r w:rsidRPr="00B667C4">
        <w:rPr>
          <w:rFonts w:asciiTheme="minorHAnsi" w:hAnsiTheme="minorHAnsi" w:cstheme="minorHAnsi"/>
          <w:color w:val="000000"/>
          <w:sz w:val="22"/>
        </w:rPr>
        <w:t xml:space="preserve">firms to </w:t>
      </w:r>
      <w:r w:rsidR="00F9585B" w:rsidRPr="00B667C4">
        <w:rPr>
          <w:rFonts w:asciiTheme="minorHAnsi" w:hAnsiTheme="minorHAnsi" w:cstheme="minorHAnsi"/>
          <w:color w:val="000000"/>
          <w:sz w:val="22"/>
        </w:rPr>
        <w:t xml:space="preserve">specialize and </w:t>
      </w:r>
      <w:r w:rsidR="00FA4BD6" w:rsidRPr="00B667C4">
        <w:rPr>
          <w:rFonts w:asciiTheme="minorHAnsi" w:hAnsiTheme="minorHAnsi" w:cstheme="minorHAnsi"/>
          <w:color w:val="000000"/>
          <w:sz w:val="22"/>
        </w:rPr>
        <w:t xml:space="preserve">led to the </w:t>
      </w:r>
      <w:r w:rsidR="001B5328" w:rsidRPr="00B667C4">
        <w:rPr>
          <w:rFonts w:asciiTheme="minorHAnsi" w:hAnsiTheme="minorHAnsi" w:cstheme="minorHAnsi"/>
          <w:color w:val="000000"/>
          <w:sz w:val="22"/>
        </w:rPr>
        <w:t>organiz</w:t>
      </w:r>
      <w:r w:rsidR="00FA4BD6" w:rsidRPr="00B667C4">
        <w:rPr>
          <w:rFonts w:asciiTheme="minorHAnsi" w:hAnsiTheme="minorHAnsi" w:cstheme="minorHAnsi"/>
          <w:color w:val="000000"/>
          <w:sz w:val="22"/>
        </w:rPr>
        <w:t>ation of</w:t>
      </w:r>
      <w:r w:rsidR="001B5328" w:rsidRPr="00B667C4">
        <w:rPr>
          <w:rFonts w:asciiTheme="minorHAnsi" w:hAnsiTheme="minorHAnsi" w:cstheme="minorHAnsi"/>
          <w:color w:val="000000"/>
          <w:sz w:val="22"/>
        </w:rPr>
        <w:t xml:space="preserve"> </w:t>
      </w:r>
      <w:r w:rsidR="003841F7" w:rsidRPr="00B667C4">
        <w:rPr>
          <w:rFonts w:asciiTheme="minorHAnsi" w:hAnsiTheme="minorHAnsi" w:cstheme="minorHAnsi"/>
          <w:color w:val="000000"/>
          <w:sz w:val="22"/>
        </w:rPr>
        <w:t xml:space="preserve">production </w:t>
      </w:r>
      <w:r w:rsidR="001B5328" w:rsidRPr="00B667C4">
        <w:rPr>
          <w:rFonts w:asciiTheme="minorHAnsi" w:hAnsiTheme="minorHAnsi" w:cstheme="minorHAnsi"/>
          <w:color w:val="000000"/>
          <w:sz w:val="22"/>
        </w:rPr>
        <w:t xml:space="preserve">into international </w:t>
      </w:r>
      <w:r w:rsidR="003841F7" w:rsidRPr="00B667C4">
        <w:rPr>
          <w:rFonts w:asciiTheme="minorHAnsi" w:hAnsiTheme="minorHAnsi" w:cstheme="minorHAnsi"/>
          <w:color w:val="000000"/>
          <w:sz w:val="22"/>
        </w:rPr>
        <w:t>value chains span</w:t>
      </w:r>
      <w:r w:rsidR="001B5328" w:rsidRPr="00B667C4">
        <w:rPr>
          <w:rFonts w:asciiTheme="minorHAnsi" w:hAnsiTheme="minorHAnsi" w:cstheme="minorHAnsi"/>
          <w:color w:val="000000"/>
          <w:sz w:val="22"/>
        </w:rPr>
        <w:t>ning</w:t>
      </w:r>
      <w:r w:rsidR="003841F7" w:rsidRPr="00B667C4">
        <w:rPr>
          <w:rFonts w:asciiTheme="minorHAnsi" w:hAnsiTheme="minorHAnsi" w:cstheme="minorHAnsi"/>
          <w:color w:val="000000"/>
          <w:sz w:val="22"/>
        </w:rPr>
        <w:t xml:space="preserve"> many countries</w:t>
      </w:r>
      <w:r w:rsidR="001B5328" w:rsidRPr="00B667C4">
        <w:rPr>
          <w:rFonts w:asciiTheme="minorHAnsi" w:hAnsiTheme="minorHAnsi" w:cstheme="minorHAnsi"/>
          <w:color w:val="000000"/>
          <w:sz w:val="22"/>
        </w:rPr>
        <w:t>. Th</w:t>
      </w:r>
      <w:r w:rsidR="00F9585B" w:rsidRPr="00B667C4">
        <w:rPr>
          <w:rFonts w:asciiTheme="minorHAnsi" w:hAnsiTheme="minorHAnsi" w:cstheme="minorHAnsi"/>
          <w:color w:val="000000"/>
          <w:sz w:val="22"/>
        </w:rPr>
        <w:t xml:space="preserve">e result </w:t>
      </w:r>
      <w:r w:rsidR="001B5328" w:rsidRPr="00B667C4">
        <w:rPr>
          <w:rFonts w:asciiTheme="minorHAnsi" w:hAnsiTheme="minorHAnsi" w:cstheme="minorHAnsi"/>
          <w:color w:val="000000"/>
          <w:sz w:val="22"/>
        </w:rPr>
        <w:t xml:space="preserve">was a steep rise in intra-industry trade between countries and </w:t>
      </w:r>
      <w:r w:rsidR="00F9585B" w:rsidRPr="00B667C4">
        <w:rPr>
          <w:rFonts w:asciiTheme="minorHAnsi" w:hAnsiTheme="minorHAnsi" w:cstheme="minorHAnsi"/>
          <w:color w:val="000000"/>
          <w:sz w:val="22"/>
        </w:rPr>
        <w:t xml:space="preserve">investment in </w:t>
      </w:r>
      <w:r w:rsidR="001B5328" w:rsidRPr="00B667C4">
        <w:rPr>
          <w:rFonts w:asciiTheme="minorHAnsi" w:hAnsiTheme="minorHAnsi" w:cstheme="minorHAnsi"/>
          <w:color w:val="000000"/>
          <w:sz w:val="22"/>
        </w:rPr>
        <w:t xml:space="preserve">production facilities by firms in foreign countries – foreign direct investment (FDI). Specialization was reflected in outsourcing and offshoring of tasks and activities, </w:t>
      </w:r>
      <w:r w:rsidR="00B032FF" w:rsidRPr="00B667C4">
        <w:rPr>
          <w:rFonts w:asciiTheme="minorHAnsi" w:hAnsiTheme="minorHAnsi" w:cstheme="minorHAnsi"/>
          <w:color w:val="000000"/>
          <w:sz w:val="22"/>
        </w:rPr>
        <w:t xml:space="preserve">initially mostly goods and more recently also spanning services. </w:t>
      </w:r>
    </w:p>
    <w:p w14:paraId="711FAF06" w14:textId="05213A9C" w:rsidR="003841F7" w:rsidRPr="00B667C4" w:rsidRDefault="0004594B" w:rsidP="00FA4BD6">
      <w:pPr>
        <w:autoSpaceDE w:val="0"/>
        <w:autoSpaceDN w:val="0"/>
        <w:adjustRightInd w:val="0"/>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 xml:space="preserve">Africa’s share of global trade was 7 percent in 1950. Today it stands at </w:t>
      </w:r>
      <w:r w:rsidR="00FA4BD6" w:rsidRPr="00B667C4">
        <w:rPr>
          <w:rFonts w:asciiTheme="minorHAnsi" w:hAnsiTheme="minorHAnsi" w:cstheme="minorHAnsi"/>
          <w:color w:val="000000"/>
          <w:sz w:val="22"/>
        </w:rPr>
        <w:t xml:space="preserve">less than </w:t>
      </w:r>
      <w:r w:rsidRPr="00B667C4">
        <w:rPr>
          <w:rFonts w:asciiTheme="minorHAnsi" w:hAnsiTheme="minorHAnsi" w:cstheme="minorHAnsi"/>
          <w:color w:val="000000"/>
          <w:sz w:val="22"/>
        </w:rPr>
        <w:t>3 percent.</w:t>
      </w:r>
      <w:r w:rsidR="00BB6E45" w:rsidRPr="00B667C4">
        <w:rPr>
          <w:rStyle w:val="FootnoteReference"/>
          <w:rFonts w:asciiTheme="minorHAnsi" w:hAnsiTheme="minorHAnsi" w:cstheme="minorHAnsi"/>
          <w:color w:val="000000"/>
          <w:sz w:val="22"/>
        </w:rPr>
        <w:footnoteReference w:id="1"/>
      </w:r>
      <w:r w:rsidRPr="00B667C4">
        <w:rPr>
          <w:rFonts w:asciiTheme="minorHAnsi" w:hAnsiTheme="minorHAnsi" w:cstheme="minorHAnsi"/>
          <w:color w:val="000000"/>
          <w:sz w:val="22"/>
        </w:rPr>
        <w:t xml:space="preserve"> </w:t>
      </w:r>
      <w:r w:rsidR="00C408C6" w:rsidRPr="00B667C4">
        <w:rPr>
          <w:rFonts w:asciiTheme="minorHAnsi" w:hAnsiTheme="minorHAnsi" w:cstheme="minorHAnsi"/>
          <w:color w:val="000000"/>
          <w:sz w:val="22"/>
        </w:rPr>
        <w:t xml:space="preserve">The decline in the share of </w:t>
      </w:r>
      <w:r w:rsidR="005E16B5" w:rsidRPr="00B667C4">
        <w:rPr>
          <w:rFonts w:asciiTheme="minorHAnsi" w:hAnsiTheme="minorHAnsi" w:cstheme="minorHAnsi"/>
          <w:color w:val="000000"/>
          <w:sz w:val="22"/>
        </w:rPr>
        <w:t xml:space="preserve">continental </w:t>
      </w:r>
      <w:r w:rsidR="00C408C6" w:rsidRPr="00B667C4">
        <w:rPr>
          <w:rFonts w:asciiTheme="minorHAnsi" w:hAnsiTheme="minorHAnsi" w:cstheme="minorHAnsi"/>
          <w:color w:val="000000"/>
          <w:sz w:val="22"/>
        </w:rPr>
        <w:t>Africa in global trade since that period reflects the shift towards intra-industry trade by other regions, while African exports remain heavily concentrated in fuels, other natural resources and agricultural products. M</w:t>
      </w:r>
      <w:r w:rsidR="003841F7" w:rsidRPr="00B667C4">
        <w:rPr>
          <w:rFonts w:asciiTheme="minorHAnsi" w:hAnsiTheme="minorHAnsi" w:cstheme="minorHAnsi"/>
          <w:color w:val="000000"/>
          <w:sz w:val="22"/>
        </w:rPr>
        <w:t xml:space="preserve">uch of the </w:t>
      </w:r>
      <w:r w:rsidR="00C408C6" w:rsidRPr="00B667C4">
        <w:rPr>
          <w:rFonts w:asciiTheme="minorHAnsi" w:hAnsiTheme="minorHAnsi" w:cstheme="minorHAnsi"/>
          <w:color w:val="000000"/>
          <w:sz w:val="22"/>
        </w:rPr>
        <w:t xml:space="preserve">export </w:t>
      </w:r>
      <w:r w:rsidR="003841F7" w:rsidRPr="00B667C4">
        <w:rPr>
          <w:rFonts w:asciiTheme="minorHAnsi" w:hAnsiTheme="minorHAnsi" w:cstheme="minorHAnsi"/>
          <w:color w:val="000000"/>
          <w:sz w:val="22"/>
        </w:rPr>
        <w:t xml:space="preserve">growth </w:t>
      </w:r>
      <w:r w:rsidR="00C408C6" w:rsidRPr="00B667C4">
        <w:rPr>
          <w:rFonts w:asciiTheme="minorHAnsi" w:hAnsiTheme="minorHAnsi" w:cstheme="minorHAnsi"/>
          <w:color w:val="000000"/>
          <w:sz w:val="22"/>
        </w:rPr>
        <w:t xml:space="preserve">realized </w:t>
      </w:r>
      <w:r w:rsidR="003841F7" w:rsidRPr="00B667C4">
        <w:rPr>
          <w:rFonts w:asciiTheme="minorHAnsi" w:hAnsiTheme="minorHAnsi" w:cstheme="minorHAnsi"/>
          <w:color w:val="000000"/>
          <w:sz w:val="22"/>
        </w:rPr>
        <w:t xml:space="preserve">during </w:t>
      </w:r>
      <w:r w:rsidR="00C408C6" w:rsidRPr="00B667C4">
        <w:rPr>
          <w:rFonts w:asciiTheme="minorHAnsi" w:hAnsiTheme="minorHAnsi" w:cstheme="minorHAnsi"/>
          <w:color w:val="000000"/>
          <w:sz w:val="22"/>
        </w:rPr>
        <w:t xml:space="preserve">the </w:t>
      </w:r>
      <w:r w:rsidR="003841F7" w:rsidRPr="00B667C4">
        <w:rPr>
          <w:rFonts w:asciiTheme="minorHAnsi" w:hAnsiTheme="minorHAnsi" w:cstheme="minorHAnsi"/>
          <w:color w:val="000000"/>
          <w:sz w:val="22"/>
        </w:rPr>
        <w:t xml:space="preserve">2000s </w:t>
      </w:r>
      <w:r w:rsidR="005E16B5" w:rsidRPr="00B667C4">
        <w:rPr>
          <w:rFonts w:asciiTheme="minorHAnsi" w:hAnsiTheme="minorHAnsi" w:cstheme="minorHAnsi"/>
          <w:color w:val="000000"/>
          <w:sz w:val="22"/>
        </w:rPr>
        <w:t xml:space="preserve">by sub-Saharan African (SSA) countries </w:t>
      </w:r>
      <w:r w:rsidR="003841F7" w:rsidRPr="00B667C4">
        <w:rPr>
          <w:rFonts w:asciiTheme="minorHAnsi" w:hAnsiTheme="minorHAnsi" w:cstheme="minorHAnsi"/>
          <w:color w:val="000000"/>
          <w:sz w:val="22"/>
        </w:rPr>
        <w:t>involved expansion along the intensive margin of trade</w:t>
      </w:r>
      <w:r w:rsidR="0024181D" w:rsidRPr="00B667C4">
        <w:rPr>
          <w:rFonts w:asciiTheme="minorHAnsi" w:hAnsiTheme="minorHAnsi" w:cstheme="minorHAnsi"/>
          <w:color w:val="000000"/>
          <w:sz w:val="22"/>
        </w:rPr>
        <w:t xml:space="preserve">. </w:t>
      </w:r>
      <w:r w:rsidR="003841F7" w:rsidRPr="00B667C4">
        <w:rPr>
          <w:rFonts w:asciiTheme="minorHAnsi" w:hAnsiTheme="minorHAnsi" w:cstheme="minorHAnsi"/>
          <w:color w:val="000000"/>
          <w:sz w:val="22"/>
        </w:rPr>
        <w:t xml:space="preserve">Most countries have a very narrow export base, whether measured in terms of the number of products that account for most revenue earned, the number of markets exported to, or the number of companies that export (Cadot et al. 2011). New products account for </w:t>
      </w:r>
      <w:r w:rsidR="005E16B5" w:rsidRPr="00B667C4">
        <w:rPr>
          <w:rFonts w:asciiTheme="minorHAnsi" w:hAnsiTheme="minorHAnsi" w:cstheme="minorHAnsi"/>
          <w:color w:val="000000"/>
          <w:sz w:val="22"/>
        </w:rPr>
        <w:t xml:space="preserve">only </w:t>
      </w:r>
      <w:r w:rsidR="003841F7" w:rsidRPr="00B667C4">
        <w:rPr>
          <w:rFonts w:asciiTheme="minorHAnsi" w:hAnsiTheme="minorHAnsi" w:cstheme="minorHAnsi"/>
          <w:color w:val="000000"/>
          <w:sz w:val="22"/>
        </w:rPr>
        <w:t xml:space="preserve">a very small share of total exports. While </w:t>
      </w:r>
      <w:r w:rsidR="006425A3" w:rsidRPr="00B667C4">
        <w:rPr>
          <w:rFonts w:asciiTheme="minorHAnsi" w:hAnsiTheme="minorHAnsi" w:cstheme="minorHAnsi"/>
          <w:color w:val="000000"/>
          <w:sz w:val="22"/>
        </w:rPr>
        <w:t xml:space="preserve">African </w:t>
      </w:r>
      <w:r w:rsidR="003841F7" w:rsidRPr="00B667C4">
        <w:rPr>
          <w:rFonts w:asciiTheme="minorHAnsi" w:hAnsiTheme="minorHAnsi" w:cstheme="minorHAnsi"/>
          <w:color w:val="000000"/>
          <w:sz w:val="22"/>
        </w:rPr>
        <w:t>firms are just as entrepreneurial as companies in richer countries when it comes to exploring potential new markets, Cadot et al. (2013) find that less than 20 percent of new export relationships established by companies in Malawi, Mali, Senegal and Tanzania survive longer than one year. Most companies that start to export in a given year no longer do so the following year. In a sample of 17 least developed countries (LDCs)</w:t>
      </w:r>
      <w:r w:rsidR="006425A3" w:rsidRPr="00B667C4">
        <w:rPr>
          <w:rFonts w:asciiTheme="minorHAnsi" w:hAnsiTheme="minorHAnsi" w:cstheme="minorHAnsi"/>
          <w:color w:val="000000"/>
          <w:sz w:val="22"/>
        </w:rPr>
        <w:t xml:space="preserve"> t</w:t>
      </w:r>
      <w:r w:rsidR="003841F7" w:rsidRPr="00B667C4">
        <w:rPr>
          <w:rFonts w:asciiTheme="minorHAnsi" w:hAnsiTheme="minorHAnsi" w:cstheme="minorHAnsi"/>
          <w:color w:val="000000"/>
          <w:sz w:val="22"/>
        </w:rPr>
        <w:t xml:space="preserve">he export failure rate was found to average 41 percent, with a high of 67 percent observed in Gambia (Nicita, Shirotori and Klok, 2013). Such high failure rates are costly, as resources are incurred in entering an export market. These are lost when the exports are not sustained. Low survival rates also increase volatility in the household incomes of the workers employed in firms that fail to sustain export production. </w:t>
      </w:r>
    </w:p>
    <w:p w14:paraId="34706A97" w14:textId="41C0C4F4" w:rsidR="002F55A0" w:rsidRPr="00B667C4" w:rsidRDefault="0024181D" w:rsidP="00FA4BD6">
      <w:pPr>
        <w:autoSpaceDE w:val="0"/>
        <w:autoSpaceDN w:val="0"/>
        <w:adjustRightInd w:val="0"/>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 xml:space="preserve">Although the aggregate </w:t>
      </w:r>
      <w:r w:rsidR="002F55A0" w:rsidRPr="00B667C4">
        <w:rPr>
          <w:rFonts w:asciiTheme="minorHAnsi" w:hAnsiTheme="minorHAnsi" w:cstheme="minorHAnsi"/>
          <w:color w:val="000000"/>
          <w:sz w:val="22"/>
        </w:rPr>
        <w:t xml:space="preserve">trade </w:t>
      </w:r>
      <w:r w:rsidRPr="00B667C4">
        <w:rPr>
          <w:rFonts w:asciiTheme="minorHAnsi" w:hAnsiTheme="minorHAnsi" w:cstheme="minorHAnsi"/>
          <w:color w:val="000000"/>
          <w:sz w:val="22"/>
        </w:rPr>
        <w:t xml:space="preserve">statistics are not encouraging, </w:t>
      </w:r>
      <w:r w:rsidR="003841F7" w:rsidRPr="00B667C4">
        <w:rPr>
          <w:rFonts w:asciiTheme="minorHAnsi" w:hAnsiTheme="minorHAnsi" w:cstheme="minorHAnsi"/>
          <w:color w:val="000000"/>
          <w:sz w:val="22"/>
        </w:rPr>
        <w:t xml:space="preserve">50 percent of Africa's non-fuel merchandise exports </w:t>
      </w:r>
      <w:r w:rsidRPr="00B667C4">
        <w:rPr>
          <w:rFonts w:asciiTheme="minorHAnsi" w:hAnsiTheme="minorHAnsi" w:cstheme="minorHAnsi"/>
          <w:color w:val="000000"/>
          <w:sz w:val="22"/>
        </w:rPr>
        <w:t xml:space="preserve">in 2014 </w:t>
      </w:r>
      <w:r w:rsidR="003841F7" w:rsidRPr="00B667C4">
        <w:rPr>
          <w:rFonts w:asciiTheme="minorHAnsi" w:hAnsiTheme="minorHAnsi" w:cstheme="minorHAnsi"/>
          <w:color w:val="000000"/>
          <w:sz w:val="22"/>
        </w:rPr>
        <w:t>comprised manufactured products, with agricultural products accounting for another 27 percent.</w:t>
      </w:r>
      <w:r w:rsidR="003841F7" w:rsidRPr="00B667C4">
        <w:rPr>
          <w:rStyle w:val="FootnoteReference"/>
          <w:rFonts w:asciiTheme="minorHAnsi" w:hAnsiTheme="minorHAnsi" w:cstheme="minorHAnsi"/>
          <w:color w:val="000000"/>
          <w:sz w:val="22"/>
        </w:rPr>
        <w:footnoteReference w:id="2"/>
      </w:r>
      <w:r w:rsidR="003841F7" w:rsidRPr="00B667C4">
        <w:rPr>
          <w:rFonts w:asciiTheme="minorHAnsi" w:hAnsiTheme="minorHAnsi" w:cstheme="minorHAnsi"/>
          <w:color w:val="000000"/>
          <w:sz w:val="22"/>
        </w:rPr>
        <w:t xml:space="preserve"> Both types of goods experienced double digit growth </w:t>
      </w:r>
      <w:r w:rsidRPr="00B667C4">
        <w:rPr>
          <w:rFonts w:asciiTheme="minorHAnsi" w:hAnsiTheme="minorHAnsi" w:cstheme="minorHAnsi"/>
          <w:color w:val="000000"/>
          <w:sz w:val="22"/>
        </w:rPr>
        <w:t xml:space="preserve">in the </w:t>
      </w:r>
      <w:r w:rsidR="003841F7" w:rsidRPr="00B667C4">
        <w:rPr>
          <w:rFonts w:asciiTheme="minorHAnsi" w:hAnsiTheme="minorHAnsi" w:cstheme="minorHAnsi"/>
          <w:color w:val="000000"/>
          <w:sz w:val="22"/>
        </w:rPr>
        <w:t>2010-14</w:t>
      </w:r>
      <w:r w:rsidRPr="00B667C4">
        <w:rPr>
          <w:rFonts w:asciiTheme="minorHAnsi" w:hAnsiTheme="minorHAnsi" w:cstheme="minorHAnsi"/>
          <w:color w:val="000000"/>
          <w:sz w:val="22"/>
        </w:rPr>
        <w:t xml:space="preserve"> period</w:t>
      </w:r>
      <w:r w:rsidR="003841F7" w:rsidRPr="00B667C4">
        <w:rPr>
          <w:rFonts w:asciiTheme="minorHAnsi" w:hAnsiTheme="minorHAnsi" w:cstheme="minorHAnsi"/>
          <w:color w:val="000000"/>
          <w:sz w:val="22"/>
        </w:rPr>
        <w:t xml:space="preserve">: manufactured exports grew by 17 percent per year; agricultural </w:t>
      </w:r>
      <w:r w:rsidRPr="00B667C4">
        <w:rPr>
          <w:rFonts w:asciiTheme="minorHAnsi" w:hAnsiTheme="minorHAnsi" w:cstheme="minorHAnsi"/>
          <w:color w:val="000000"/>
          <w:sz w:val="22"/>
        </w:rPr>
        <w:t xml:space="preserve">exports </w:t>
      </w:r>
      <w:r w:rsidR="003841F7" w:rsidRPr="00B667C4">
        <w:rPr>
          <w:rFonts w:asciiTheme="minorHAnsi" w:hAnsiTheme="minorHAnsi" w:cstheme="minorHAnsi"/>
          <w:color w:val="000000"/>
          <w:sz w:val="22"/>
        </w:rPr>
        <w:t>by 22 percent per year</w:t>
      </w:r>
      <w:r w:rsidR="00FA4BD6" w:rsidRPr="00B667C4">
        <w:rPr>
          <w:rFonts w:asciiTheme="minorHAnsi" w:hAnsiTheme="minorHAnsi" w:cstheme="minorHAnsi"/>
          <w:color w:val="000000"/>
          <w:sz w:val="22"/>
        </w:rPr>
        <w:t xml:space="preserve">, and </w:t>
      </w:r>
      <w:r w:rsidR="003841F7" w:rsidRPr="00B667C4">
        <w:rPr>
          <w:rFonts w:asciiTheme="minorHAnsi" w:hAnsiTheme="minorHAnsi" w:cstheme="minorHAnsi"/>
          <w:color w:val="000000"/>
          <w:sz w:val="22"/>
        </w:rPr>
        <w:t>there has been significant dynamism in higher value added products. There is great potential to build on the growth to date, especially through expansion of intra-regional trade flows. In 2014, only 18 percent of African trade was with other African countries. This compares to more than 50 percent in Asia and 68 percent in Europe.</w:t>
      </w:r>
      <w:r w:rsidR="006425A3" w:rsidRPr="00B667C4">
        <w:rPr>
          <w:rFonts w:asciiTheme="minorHAnsi" w:hAnsiTheme="minorHAnsi" w:cstheme="minorHAnsi"/>
          <w:color w:val="000000"/>
          <w:sz w:val="22"/>
        </w:rPr>
        <w:t xml:space="preserve"> Some </w:t>
      </w:r>
      <w:r w:rsidR="003841F7" w:rsidRPr="00B667C4">
        <w:rPr>
          <w:rFonts w:asciiTheme="minorHAnsi" w:hAnsiTheme="minorHAnsi" w:cstheme="minorHAnsi"/>
          <w:color w:val="000000"/>
          <w:sz w:val="22"/>
        </w:rPr>
        <w:t xml:space="preserve">27 percent of Africa's exports of agricultural produce are intra-regional. While </w:t>
      </w:r>
      <w:r w:rsidR="006425A3" w:rsidRPr="00B667C4">
        <w:rPr>
          <w:rFonts w:asciiTheme="minorHAnsi" w:hAnsiTheme="minorHAnsi" w:cstheme="minorHAnsi"/>
          <w:color w:val="000000"/>
          <w:sz w:val="22"/>
        </w:rPr>
        <w:t xml:space="preserve">this is </w:t>
      </w:r>
      <w:r w:rsidR="003841F7" w:rsidRPr="00B667C4">
        <w:rPr>
          <w:rFonts w:asciiTheme="minorHAnsi" w:hAnsiTheme="minorHAnsi" w:cstheme="minorHAnsi"/>
          <w:color w:val="000000"/>
          <w:sz w:val="22"/>
        </w:rPr>
        <w:t xml:space="preserve">higher than </w:t>
      </w:r>
      <w:r w:rsidR="006425A3" w:rsidRPr="00B667C4">
        <w:rPr>
          <w:rFonts w:asciiTheme="minorHAnsi" w:hAnsiTheme="minorHAnsi" w:cstheme="minorHAnsi"/>
          <w:color w:val="000000"/>
          <w:sz w:val="22"/>
        </w:rPr>
        <w:t xml:space="preserve">for other </w:t>
      </w:r>
      <w:r w:rsidR="003841F7" w:rsidRPr="00B667C4">
        <w:rPr>
          <w:rFonts w:asciiTheme="minorHAnsi" w:hAnsiTheme="minorHAnsi" w:cstheme="minorHAnsi"/>
          <w:color w:val="000000"/>
          <w:sz w:val="22"/>
        </w:rPr>
        <w:t xml:space="preserve">goods, it compares to 60 percent in Asia. </w:t>
      </w:r>
      <w:r w:rsidR="00736166" w:rsidRPr="00B667C4">
        <w:rPr>
          <w:rFonts w:asciiTheme="minorHAnsi" w:hAnsiTheme="minorHAnsi" w:cstheme="minorHAnsi"/>
          <w:color w:val="000000"/>
          <w:sz w:val="22"/>
        </w:rPr>
        <w:t xml:space="preserve">Increasing African intra-regional trade is clearly </w:t>
      </w:r>
      <w:r w:rsidR="00C660BE" w:rsidRPr="00B667C4">
        <w:rPr>
          <w:rFonts w:asciiTheme="minorHAnsi" w:hAnsiTheme="minorHAnsi" w:cstheme="minorHAnsi"/>
          <w:color w:val="000000"/>
          <w:sz w:val="22"/>
        </w:rPr>
        <w:t>an</w:t>
      </w:r>
      <w:r w:rsidR="00736166" w:rsidRPr="00B667C4">
        <w:rPr>
          <w:rFonts w:asciiTheme="minorHAnsi" w:hAnsiTheme="minorHAnsi" w:cstheme="minorHAnsi"/>
          <w:color w:val="000000"/>
          <w:sz w:val="22"/>
        </w:rPr>
        <w:t xml:space="preserve"> area w</w:t>
      </w:r>
      <w:r w:rsidR="00C660BE" w:rsidRPr="00B667C4">
        <w:rPr>
          <w:rFonts w:asciiTheme="minorHAnsi" w:hAnsiTheme="minorHAnsi" w:cstheme="minorHAnsi"/>
          <w:color w:val="000000"/>
          <w:sz w:val="22"/>
        </w:rPr>
        <w:t xml:space="preserve">ith </w:t>
      </w:r>
      <w:r w:rsidR="00736166" w:rsidRPr="00B667C4">
        <w:rPr>
          <w:rFonts w:asciiTheme="minorHAnsi" w:hAnsiTheme="minorHAnsi" w:cstheme="minorHAnsi"/>
          <w:color w:val="000000"/>
          <w:sz w:val="22"/>
        </w:rPr>
        <w:t>significant potential.</w:t>
      </w:r>
      <w:r w:rsidRPr="00B667C4">
        <w:rPr>
          <w:rFonts w:asciiTheme="minorHAnsi" w:hAnsiTheme="minorHAnsi" w:cstheme="minorHAnsi"/>
          <w:color w:val="000000"/>
          <w:sz w:val="22"/>
        </w:rPr>
        <w:t xml:space="preserve"> </w:t>
      </w:r>
    </w:p>
    <w:p w14:paraId="0E517573" w14:textId="78655957" w:rsidR="007B07B8" w:rsidRPr="00B667C4" w:rsidRDefault="006425A3" w:rsidP="00FA4BD6">
      <w:pPr>
        <w:autoSpaceDE w:val="0"/>
        <w:autoSpaceDN w:val="0"/>
        <w:adjustRightInd w:val="0"/>
        <w:spacing w:after="120" w:line="276" w:lineRule="auto"/>
        <w:rPr>
          <w:rFonts w:asciiTheme="minorHAnsi" w:hAnsiTheme="minorHAnsi" w:cstheme="minorHAnsi"/>
          <w:sz w:val="22"/>
        </w:rPr>
      </w:pPr>
      <w:r w:rsidRPr="00B667C4">
        <w:rPr>
          <w:rFonts w:asciiTheme="minorHAnsi" w:hAnsiTheme="minorHAnsi" w:cstheme="minorHAnsi"/>
          <w:sz w:val="22"/>
        </w:rPr>
        <w:t xml:space="preserve">Expanding trade matters because </w:t>
      </w:r>
      <w:r w:rsidR="0024181D" w:rsidRPr="00B667C4">
        <w:rPr>
          <w:rFonts w:asciiTheme="minorHAnsi" w:hAnsiTheme="minorHAnsi" w:cstheme="minorHAnsi"/>
          <w:sz w:val="22"/>
        </w:rPr>
        <w:t xml:space="preserve">it can help </w:t>
      </w:r>
      <w:r w:rsidRPr="00B667C4">
        <w:rPr>
          <w:rFonts w:asciiTheme="minorHAnsi" w:hAnsiTheme="minorHAnsi" w:cstheme="minorHAnsi"/>
          <w:sz w:val="22"/>
        </w:rPr>
        <w:t>drive the</w:t>
      </w:r>
      <w:r w:rsidR="00024CC3" w:rsidRPr="00B667C4">
        <w:rPr>
          <w:rFonts w:asciiTheme="minorHAnsi" w:hAnsiTheme="minorHAnsi" w:cstheme="minorHAnsi"/>
          <w:sz w:val="22"/>
        </w:rPr>
        <w:t xml:space="preserve"> real per capita income growth that </w:t>
      </w:r>
      <w:r w:rsidR="003512B4" w:rsidRPr="00B667C4">
        <w:rPr>
          <w:rFonts w:asciiTheme="minorHAnsi" w:hAnsiTheme="minorHAnsi" w:cstheme="minorHAnsi"/>
          <w:sz w:val="22"/>
        </w:rPr>
        <w:t xml:space="preserve">is </w:t>
      </w:r>
      <w:r w:rsidR="00024CC3" w:rsidRPr="00B667C4">
        <w:rPr>
          <w:rFonts w:asciiTheme="minorHAnsi" w:hAnsiTheme="minorHAnsi" w:cstheme="minorHAnsi"/>
          <w:sz w:val="22"/>
        </w:rPr>
        <w:t>ne</w:t>
      </w:r>
      <w:r w:rsidR="00C660BE" w:rsidRPr="00B667C4">
        <w:rPr>
          <w:rFonts w:asciiTheme="minorHAnsi" w:hAnsiTheme="minorHAnsi" w:cstheme="minorHAnsi"/>
          <w:sz w:val="22"/>
        </w:rPr>
        <w:t>eded to</w:t>
      </w:r>
      <w:r w:rsidR="00024CC3" w:rsidRPr="00B667C4">
        <w:rPr>
          <w:rFonts w:asciiTheme="minorHAnsi" w:hAnsiTheme="minorHAnsi" w:cstheme="minorHAnsi"/>
          <w:sz w:val="22"/>
        </w:rPr>
        <w:t xml:space="preserve"> achiev</w:t>
      </w:r>
      <w:r w:rsidR="00C660BE" w:rsidRPr="00B667C4">
        <w:rPr>
          <w:rFonts w:asciiTheme="minorHAnsi" w:hAnsiTheme="minorHAnsi" w:cstheme="minorHAnsi"/>
          <w:sz w:val="22"/>
        </w:rPr>
        <w:t>e</w:t>
      </w:r>
      <w:r w:rsidR="00024CC3" w:rsidRPr="00B667C4">
        <w:rPr>
          <w:rFonts w:asciiTheme="minorHAnsi" w:hAnsiTheme="minorHAnsi" w:cstheme="minorHAnsi"/>
          <w:sz w:val="22"/>
        </w:rPr>
        <w:t xml:space="preserve"> the </w:t>
      </w:r>
      <w:r w:rsidR="00FA4BD6" w:rsidRPr="00B667C4">
        <w:rPr>
          <w:rFonts w:asciiTheme="minorHAnsi" w:hAnsiTheme="minorHAnsi" w:cstheme="minorHAnsi"/>
          <w:sz w:val="22"/>
        </w:rPr>
        <w:t>2030</w:t>
      </w:r>
      <w:r w:rsidR="00024CC3" w:rsidRPr="00B667C4">
        <w:rPr>
          <w:rFonts w:asciiTheme="minorHAnsi" w:hAnsiTheme="minorHAnsi" w:cstheme="minorHAnsi"/>
          <w:sz w:val="22"/>
        </w:rPr>
        <w:t xml:space="preserve"> development agenda.</w:t>
      </w:r>
      <w:r w:rsidR="0024181D" w:rsidRPr="00B667C4">
        <w:rPr>
          <w:rStyle w:val="FootnoteReference"/>
          <w:rFonts w:asciiTheme="minorHAnsi" w:hAnsiTheme="minorHAnsi" w:cstheme="minorHAnsi"/>
          <w:sz w:val="22"/>
        </w:rPr>
        <w:footnoteReference w:id="3"/>
      </w:r>
      <w:r w:rsidR="00024CC3" w:rsidRPr="00B667C4">
        <w:rPr>
          <w:rFonts w:asciiTheme="minorHAnsi" w:hAnsiTheme="minorHAnsi" w:cstheme="minorHAnsi"/>
          <w:sz w:val="22"/>
        </w:rPr>
        <w:t xml:space="preserve"> </w:t>
      </w:r>
      <w:r w:rsidR="002F55A0" w:rsidRPr="00B667C4">
        <w:rPr>
          <w:rFonts w:asciiTheme="minorHAnsi" w:hAnsiTheme="minorHAnsi" w:cstheme="minorHAnsi"/>
          <w:sz w:val="22"/>
        </w:rPr>
        <w:t>Realizing regional integration objectives and related trade expansion is particularly important given that i</w:t>
      </w:r>
      <w:r w:rsidR="00024CC3" w:rsidRPr="00B667C4">
        <w:rPr>
          <w:rFonts w:asciiTheme="minorHAnsi" w:hAnsiTheme="minorHAnsi" w:cstheme="minorHAnsi"/>
          <w:sz w:val="22"/>
        </w:rPr>
        <w:t>n the coming decade</w:t>
      </w:r>
      <w:r w:rsidR="00FD3B97" w:rsidRPr="00B667C4">
        <w:rPr>
          <w:rFonts w:asciiTheme="minorHAnsi" w:hAnsiTheme="minorHAnsi" w:cstheme="minorHAnsi"/>
          <w:sz w:val="22"/>
        </w:rPr>
        <w:t>s</w:t>
      </w:r>
      <w:r w:rsidR="00024CC3" w:rsidRPr="00B667C4">
        <w:rPr>
          <w:rFonts w:asciiTheme="minorHAnsi" w:hAnsiTheme="minorHAnsi" w:cstheme="minorHAnsi"/>
          <w:sz w:val="22"/>
        </w:rPr>
        <w:t xml:space="preserve"> </w:t>
      </w:r>
      <w:r w:rsidR="002F55A0" w:rsidRPr="00B667C4">
        <w:rPr>
          <w:rFonts w:asciiTheme="minorHAnsi" w:hAnsiTheme="minorHAnsi" w:cstheme="minorHAnsi"/>
          <w:sz w:val="22"/>
        </w:rPr>
        <w:t>global trade dynamics may be less supportive than they have been in recent decades</w:t>
      </w:r>
      <w:r w:rsidR="00024CC3" w:rsidRPr="00B667C4">
        <w:rPr>
          <w:rFonts w:asciiTheme="minorHAnsi" w:hAnsiTheme="minorHAnsi" w:cstheme="minorHAnsi"/>
          <w:sz w:val="22"/>
        </w:rPr>
        <w:t xml:space="preserve">. Since 2010, following the sharp collapse in trade in 2008 and the equally sharp recovery in 2009, global trade has grown in line with global output as opposed to increasing 2 to 3 times faster than output </w:t>
      </w:r>
      <w:r w:rsidR="0024181D" w:rsidRPr="00B667C4">
        <w:rPr>
          <w:rFonts w:asciiTheme="minorHAnsi" w:hAnsiTheme="minorHAnsi" w:cstheme="minorHAnsi"/>
          <w:sz w:val="22"/>
        </w:rPr>
        <w:t xml:space="preserve">as it did </w:t>
      </w:r>
      <w:r w:rsidR="00024CC3" w:rsidRPr="00B667C4">
        <w:rPr>
          <w:rFonts w:asciiTheme="minorHAnsi" w:hAnsiTheme="minorHAnsi" w:cstheme="minorHAnsi"/>
          <w:sz w:val="22"/>
        </w:rPr>
        <w:t>in the 1980s, 1990s and much of the 2000s. Whether the post-2010 trade slowdown constitutes a ‘new normal’ is a hotly debated question</w:t>
      </w:r>
      <w:r w:rsidR="00FA4BD6" w:rsidRPr="00B667C4">
        <w:rPr>
          <w:rFonts w:asciiTheme="minorHAnsi" w:hAnsiTheme="minorHAnsi" w:cstheme="minorHAnsi"/>
          <w:sz w:val="22"/>
        </w:rPr>
        <w:t xml:space="preserve"> (Hoekman, 2015)</w:t>
      </w:r>
      <w:r w:rsidR="0024181D" w:rsidRPr="00B667C4">
        <w:rPr>
          <w:rFonts w:asciiTheme="minorHAnsi" w:hAnsiTheme="minorHAnsi" w:cstheme="minorHAnsi"/>
          <w:sz w:val="22"/>
        </w:rPr>
        <w:t>, but a</w:t>
      </w:r>
      <w:r w:rsidR="00ED7CC6" w:rsidRPr="00B667C4">
        <w:rPr>
          <w:rFonts w:asciiTheme="minorHAnsi" w:hAnsiTheme="minorHAnsi" w:cstheme="minorHAnsi"/>
          <w:sz w:val="22"/>
        </w:rPr>
        <w:t>bsent the re-imposition of protectionist measures by the United States that ha</w:t>
      </w:r>
      <w:r w:rsidR="0024181D" w:rsidRPr="00B667C4">
        <w:rPr>
          <w:rFonts w:asciiTheme="minorHAnsi" w:hAnsiTheme="minorHAnsi" w:cstheme="minorHAnsi"/>
          <w:sz w:val="22"/>
        </w:rPr>
        <w:t xml:space="preserve">s </w:t>
      </w:r>
      <w:r w:rsidR="00ED7CC6" w:rsidRPr="00B667C4">
        <w:rPr>
          <w:rFonts w:asciiTheme="minorHAnsi" w:hAnsiTheme="minorHAnsi" w:cstheme="minorHAnsi"/>
          <w:sz w:val="22"/>
        </w:rPr>
        <w:t xml:space="preserve">been threatened by President Trump and </w:t>
      </w:r>
      <w:r w:rsidR="0024181D" w:rsidRPr="00B667C4">
        <w:rPr>
          <w:rFonts w:asciiTheme="minorHAnsi" w:hAnsiTheme="minorHAnsi" w:cstheme="minorHAnsi"/>
          <w:sz w:val="22"/>
        </w:rPr>
        <w:t xml:space="preserve">the </w:t>
      </w:r>
      <w:r w:rsidR="00ED7CC6" w:rsidRPr="00B667C4">
        <w:rPr>
          <w:rFonts w:asciiTheme="minorHAnsi" w:hAnsiTheme="minorHAnsi" w:cstheme="minorHAnsi"/>
          <w:sz w:val="22"/>
        </w:rPr>
        <w:t>tit-for-tat retaliation</w:t>
      </w:r>
      <w:r w:rsidR="0024181D" w:rsidRPr="00B667C4">
        <w:rPr>
          <w:rFonts w:asciiTheme="minorHAnsi" w:hAnsiTheme="minorHAnsi" w:cstheme="minorHAnsi"/>
          <w:sz w:val="22"/>
        </w:rPr>
        <w:t xml:space="preserve"> this w</w:t>
      </w:r>
      <w:r w:rsidR="00FA4BD6" w:rsidRPr="00B667C4">
        <w:rPr>
          <w:rFonts w:asciiTheme="minorHAnsi" w:hAnsiTheme="minorHAnsi" w:cstheme="minorHAnsi"/>
          <w:sz w:val="22"/>
        </w:rPr>
        <w:t>ould induce</w:t>
      </w:r>
      <w:r w:rsidR="00ED7CC6" w:rsidRPr="00B667C4">
        <w:rPr>
          <w:rFonts w:asciiTheme="minorHAnsi" w:hAnsiTheme="minorHAnsi" w:cstheme="minorHAnsi"/>
          <w:sz w:val="22"/>
        </w:rPr>
        <w:t xml:space="preserve">, </w:t>
      </w:r>
      <w:r w:rsidR="00FD3B97" w:rsidRPr="00B667C4">
        <w:rPr>
          <w:rFonts w:asciiTheme="minorHAnsi" w:hAnsiTheme="minorHAnsi" w:cstheme="minorHAnsi"/>
          <w:sz w:val="22"/>
        </w:rPr>
        <w:t xml:space="preserve">there are good reasons to expect trade to recover from the anaemic </w:t>
      </w:r>
      <w:r w:rsidR="00ED7CC6" w:rsidRPr="00B667C4">
        <w:rPr>
          <w:rFonts w:asciiTheme="minorHAnsi" w:hAnsiTheme="minorHAnsi" w:cstheme="minorHAnsi"/>
          <w:sz w:val="22"/>
        </w:rPr>
        <w:t xml:space="preserve">global trade </w:t>
      </w:r>
      <w:r w:rsidR="00FD3B97" w:rsidRPr="00B667C4">
        <w:rPr>
          <w:rFonts w:asciiTheme="minorHAnsi" w:hAnsiTheme="minorHAnsi" w:cstheme="minorHAnsi"/>
          <w:sz w:val="22"/>
        </w:rPr>
        <w:t xml:space="preserve">growth rates </w:t>
      </w:r>
      <w:r w:rsidR="00ED7CC6" w:rsidRPr="00B667C4">
        <w:rPr>
          <w:rFonts w:asciiTheme="minorHAnsi" w:hAnsiTheme="minorHAnsi" w:cstheme="minorHAnsi"/>
          <w:sz w:val="22"/>
        </w:rPr>
        <w:t xml:space="preserve">that have characterized </w:t>
      </w:r>
      <w:r w:rsidR="00FD3B97" w:rsidRPr="00B667C4">
        <w:rPr>
          <w:rFonts w:asciiTheme="minorHAnsi" w:hAnsiTheme="minorHAnsi" w:cstheme="minorHAnsi"/>
          <w:sz w:val="22"/>
        </w:rPr>
        <w:t>in the 20</w:t>
      </w:r>
      <w:r w:rsidR="00ED7CC6" w:rsidRPr="00B667C4">
        <w:rPr>
          <w:rFonts w:asciiTheme="minorHAnsi" w:hAnsiTheme="minorHAnsi" w:cstheme="minorHAnsi"/>
          <w:sz w:val="22"/>
        </w:rPr>
        <w:t>10-16</w:t>
      </w:r>
      <w:r w:rsidR="00FD3B97" w:rsidRPr="00B667C4">
        <w:rPr>
          <w:rFonts w:asciiTheme="minorHAnsi" w:hAnsiTheme="minorHAnsi" w:cstheme="minorHAnsi"/>
          <w:sz w:val="22"/>
        </w:rPr>
        <w:t xml:space="preserve"> period</w:t>
      </w:r>
      <w:r w:rsidR="00ED7CC6" w:rsidRPr="00B667C4">
        <w:rPr>
          <w:rFonts w:asciiTheme="minorHAnsi" w:hAnsiTheme="minorHAnsi" w:cstheme="minorHAnsi"/>
          <w:sz w:val="22"/>
        </w:rPr>
        <w:t>. Whatever the case may be in this regard</w:t>
      </w:r>
      <w:r w:rsidR="0024181D" w:rsidRPr="00B667C4">
        <w:rPr>
          <w:rFonts w:asciiTheme="minorHAnsi" w:hAnsiTheme="minorHAnsi" w:cstheme="minorHAnsi"/>
          <w:sz w:val="22"/>
        </w:rPr>
        <w:t>,</w:t>
      </w:r>
      <w:r w:rsidR="00ED7CC6" w:rsidRPr="00B667C4">
        <w:rPr>
          <w:rFonts w:asciiTheme="minorHAnsi" w:hAnsiTheme="minorHAnsi" w:cstheme="minorHAnsi"/>
          <w:sz w:val="22"/>
        </w:rPr>
        <w:t xml:space="preserve"> it is clear that </w:t>
      </w:r>
      <w:r w:rsidR="00510ECF" w:rsidRPr="00B667C4">
        <w:rPr>
          <w:rFonts w:asciiTheme="minorHAnsi" w:hAnsiTheme="minorHAnsi" w:cstheme="minorHAnsi"/>
          <w:sz w:val="22"/>
        </w:rPr>
        <w:t xml:space="preserve">the </w:t>
      </w:r>
      <w:r w:rsidR="00FD3B97" w:rsidRPr="00B667C4">
        <w:rPr>
          <w:rFonts w:asciiTheme="minorHAnsi" w:hAnsiTheme="minorHAnsi" w:cstheme="minorHAnsi"/>
          <w:sz w:val="22"/>
        </w:rPr>
        <w:t xml:space="preserve">potential for trade to drive economic growth in Sub-Saharan Africa </w:t>
      </w:r>
      <w:r w:rsidR="00ED7CC6" w:rsidRPr="00B667C4">
        <w:rPr>
          <w:rFonts w:asciiTheme="minorHAnsi" w:hAnsiTheme="minorHAnsi" w:cstheme="minorHAnsi"/>
          <w:sz w:val="22"/>
        </w:rPr>
        <w:t>has yet to be realized</w:t>
      </w:r>
      <w:r w:rsidR="002F55A0" w:rsidRPr="00B667C4">
        <w:rPr>
          <w:rFonts w:asciiTheme="minorHAnsi" w:hAnsiTheme="minorHAnsi" w:cstheme="minorHAnsi"/>
          <w:sz w:val="22"/>
        </w:rPr>
        <w:t xml:space="preserve">, suggesting that a focus </w:t>
      </w:r>
      <w:r w:rsidR="00ED7CC6" w:rsidRPr="00B667C4">
        <w:rPr>
          <w:rFonts w:asciiTheme="minorHAnsi" w:hAnsiTheme="minorHAnsi" w:cstheme="minorHAnsi"/>
          <w:sz w:val="22"/>
        </w:rPr>
        <w:t xml:space="preserve">by African governments </w:t>
      </w:r>
      <w:r w:rsidR="002F55A0" w:rsidRPr="00B667C4">
        <w:rPr>
          <w:rFonts w:asciiTheme="minorHAnsi" w:hAnsiTheme="minorHAnsi" w:cstheme="minorHAnsi"/>
          <w:sz w:val="22"/>
        </w:rPr>
        <w:t xml:space="preserve">on </w:t>
      </w:r>
      <w:r w:rsidR="00ED7CC6" w:rsidRPr="00B667C4">
        <w:rPr>
          <w:rFonts w:asciiTheme="minorHAnsi" w:hAnsiTheme="minorHAnsi" w:cstheme="minorHAnsi"/>
          <w:sz w:val="22"/>
        </w:rPr>
        <w:t>facilitat</w:t>
      </w:r>
      <w:r w:rsidR="002F55A0" w:rsidRPr="00B667C4">
        <w:rPr>
          <w:rFonts w:asciiTheme="minorHAnsi" w:hAnsiTheme="minorHAnsi" w:cstheme="minorHAnsi"/>
          <w:sz w:val="22"/>
        </w:rPr>
        <w:t>ing</w:t>
      </w:r>
      <w:r w:rsidR="00ED7CC6" w:rsidRPr="00B667C4">
        <w:rPr>
          <w:rFonts w:asciiTheme="minorHAnsi" w:hAnsiTheme="minorHAnsi" w:cstheme="minorHAnsi"/>
          <w:sz w:val="22"/>
        </w:rPr>
        <w:t xml:space="preserve"> trade on the African continent</w:t>
      </w:r>
      <w:r w:rsidR="002F55A0" w:rsidRPr="00B667C4">
        <w:rPr>
          <w:rFonts w:asciiTheme="minorHAnsi" w:hAnsiTheme="minorHAnsi" w:cstheme="minorHAnsi"/>
          <w:sz w:val="22"/>
        </w:rPr>
        <w:t xml:space="preserve"> becomes even more salient.</w:t>
      </w:r>
    </w:p>
    <w:p w14:paraId="66137605" w14:textId="456A7E01" w:rsidR="00024CC3" w:rsidRPr="00B667C4" w:rsidRDefault="0024181D" w:rsidP="00FA4BD6">
      <w:pPr>
        <w:tabs>
          <w:tab w:val="num" w:pos="720"/>
          <w:tab w:val="num" w:pos="1440"/>
        </w:tabs>
        <w:spacing w:after="120" w:line="276" w:lineRule="auto"/>
        <w:rPr>
          <w:rFonts w:asciiTheme="minorHAnsi" w:hAnsiTheme="minorHAnsi" w:cstheme="minorHAnsi"/>
          <w:sz w:val="22"/>
        </w:rPr>
      </w:pPr>
      <w:r w:rsidRPr="00B667C4">
        <w:rPr>
          <w:rFonts w:asciiTheme="minorHAnsi" w:hAnsiTheme="minorHAnsi" w:cstheme="minorHAnsi"/>
          <w:sz w:val="22"/>
        </w:rPr>
        <w:t xml:space="preserve">In what follows, </w:t>
      </w:r>
      <w:r w:rsidR="00F24FCB" w:rsidRPr="00B667C4">
        <w:rPr>
          <w:rFonts w:asciiTheme="minorHAnsi" w:hAnsiTheme="minorHAnsi" w:cstheme="minorHAnsi"/>
          <w:sz w:val="22"/>
        </w:rPr>
        <w:t>Section 1</w:t>
      </w:r>
      <w:r w:rsidRPr="00B667C4">
        <w:rPr>
          <w:rFonts w:asciiTheme="minorHAnsi" w:hAnsiTheme="minorHAnsi" w:cstheme="minorHAnsi"/>
          <w:sz w:val="22"/>
        </w:rPr>
        <w:t xml:space="preserve"> briefly describes </w:t>
      </w:r>
      <w:r w:rsidR="00F24FCB" w:rsidRPr="00B667C4">
        <w:rPr>
          <w:rFonts w:asciiTheme="minorHAnsi" w:hAnsiTheme="minorHAnsi" w:cstheme="minorHAnsi"/>
          <w:sz w:val="22"/>
        </w:rPr>
        <w:t xml:space="preserve">the </w:t>
      </w:r>
      <w:r w:rsidR="00160E6F" w:rsidRPr="00B667C4">
        <w:rPr>
          <w:rFonts w:asciiTheme="minorHAnsi" w:hAnsiTheme="minorHAnsi" w:cstheme="minorHAnsi"/>
          <w:sz w:val="22"/>
        </w:rPr>
        <w:t xml:space="preserve">stated </w:t>
      </w:r>
      <w:r w:rsidR="00F24FCB" w:rsidRPr="00B667C4">
        <w:rPr>
          <w:rFonts w:asciiTheme="minorHAnsi" w:hAnsiTheme="minorHAnsi" w:cstheme="minorHAnsi"/>
          <w:sz w:val="22"/>
        </w:rPr>
        <w:t xml:space="preserve">trade policy </w:t>
      </w:r>
      <w:r w:rsidRPr="00B667C4">
        <w:rPr>
          <w:rFonts w:asciiTheme="minorHAnsi" w:hAnsiTheme="minorHAnsi" w:cstheme="minorHAnsi"/>
          <w:sz w:val="22"/>
        </w:rPr>
        <w:t xml:space="preserve">priorities of </w:t>
      </w:r>
      <w:r w:rsidR="00F24FCB" w:rsidRPr="00B667C4">
        <w:rPr>
          <w:rFonts w:asciiTheme="minorHAnsi" w:hAnsiTheme="minorHAnsi" w:cstheme="minorHAnsi"/>
          <w:sz w:val="22"/>
        </w:rPr>
        <w:t>A</w:t>
      </w:r>
      <w:r w:rsidR="00024CC3" w:rsidRPr="00B667C4">
        <w:rPr>
          <w:rFonts w:asciiTheme="minorHAnsi" w:hAnsiTheme="minorHAnsi" w:cstheme="minorHAnsi"/>
          <w:sz w:val="22"/>
        </w:rPr>
        <w:t>frican leaders</w:t>
      </w:r>
      <w:r w:rsidRPr="00B667C4">
        <w:rPr>
          <w:rFonts w:asciiTheme="minorHAnsi" w:hAnsiTheme="minorHAnsi" w:cstheme="minorHAnsi"/>
          <w:sz w:val="22"/>
        </w:rPr>
        <w:t xml:space="preserve">, which centre on </w:t>
      </w:r>
      <w:r w:rsidR="00F24FCB" w:rsidRPr="00B667C4">
        <w:rPr>
          <w:rFonts w:asciiTheme="minorHAnsi" w:hAnsiTheme="minorHAnsi" w:cstheme="minorHAnsi"/>
          <w:sz w:val="22"/>
        </w:rPr>
        <w:t xml:space="preserve">efforts to </w:t>
      </w:r>
      <w:r w:rsidR="00736166" w:rsidRPr="00B667C4">
        <w:rPr>
          <w:rFonts w:asciiTheme="minorHAnsi" w:hAnsiTheme="minorHAnsi" w:cstheme="minorHAnsi"/>
          <w:sz w:val="22"/>
        </w:rPr>
        <w:t>integrat</w:t>
      </w:r>
      <w:r w:rsidR="00F24FCB" w:rsidRPr="00B667C4">
        <w:rPr>
          <w:rFonts w:asciiTheme="minorHAnsi" w:hAnsiTheme="minorHAnsi" w:cstheme="minorHAnsi"/>
          <w:sz w:val="22"/>
        </w:rPr>
        <w:t>e markets</w:t>
      </w:r>
      <w:r w:rsidR="00736166" w:rsidRPr="00B667C4">
        <w:rPr>
          <w:rFonts w:asciiTheme="minorHAnsi" w:hAnsiTheme="minorHAnsi" w:cstheme="minorHAnsi"/>
          <w:sz w:val="22"/>
        </w:rPr>
        <w:t xml:space="preserve"> </w:t>
      </w:r>
      <w:r w:rsidR="00F24FCB" w:rsidRPr="00B667C4">
        <w:rPr>
          <w:rFonts w:asciiTheme="minorHAnsi" w:hAnsiTheme="minorHAnsi" w:cstheme="minorHAnsi"/>
          <w:sz w:val="22"/>
        </w:rPr>
        <w:t xml:space="preserve">across </w:t>
      </w:r>
      <w:r w:rsidR="00736166" w:rsidRPr="00B667C4">
        <w:rPr>
          <w:rFonts w:asciiTheme="minorHAnsi" w:hAnsiTheme="minorHAnsi" w:cstheme="minorHAnsi"/>
          <w:sz w:val="22"/>
        </w:rPr>
        <w:t>the continent.</w:t>
      </w:r>
      <w:r w:rsidR="00024CC3" w:rsidRPr="00B667C4">
        <w:rPr>
          <w:rFonts w:asciiTheme="minorHAnsi" w:hAnsiTheme="minorHAnsi" w:cstheme="minorHAnsi"/>
          <w:sz w:val="22"/>
        </w:rPr>
        <w:t xml:space="preserve"> </w:t>
      </w:r>
      <w:r w:rsidR="00F24FCB" w:rsidRPr="00B667C4">
        <w:rPr>
          <w:rFonts w:asciiTheme="minorHAnsi" w:hAnsiTheme="minorHAnsi" w:cstheme="minorHAnsi"/>
          <w:sz w:val="22"/>
        </w:rPr>
        <w:t>Reducing intra-African t</w:t>
      </w:r>
      <w:r w:rsidR="00024CC3" w:rsidRPr="00B667C4">
        <w:rPr>
          <w:rFonts w:asciiTheme="minorHAnsi" w:hAnsiTheme="minorHAnsi" w:cstheme="minorHAnsi"/>
          <w:sz w:val="22"/>
        </w:rPr>
        <w:t xml:space="preserve">rade </w:t>
      </w:r>
      <w:r w:rsidR="00F24FCB" w:rsidRPr="00B667C4">
        <w:rPr>
          <w:rFonts w:asciiTheme="minorHAnsi" w:hAnsiTheme="minorHAnsi" w:cstheme="minorHAnsi"/>
          <w:sz w:val="22"/>
        </w:rPr>
        <w:t xml:space="preserve">costs </w:t>
      </w:r>
      <w:r w:rsidR="00527051" w:rsidRPr="00B667C4">
        <w:rPr>
          <w:rFonts w:asciiTheme="minorHAnsi" w:hAnsiTheme="minorHAnsi" w:cstheme="minorHAnsi"/>
          <w:sz w:val="22"/>
        </w:rPr>
        <w:t xml:space="preserve">and opening services markets are </w:t>
      </w:r>
      <w:r w:rsidR="00F24FCB" w:rsidRPr="00B667C4">
        <w:rPr>
          <w:rFonts w:asciiTheme="minorHAnsi" w:hAnsiTheme="minorHAnsi" w:cstheme="minorHAnsi"/>
          <w:sz w:val="22"/>
        </w:rPr>
        <w:t xml:space="preserve">key </w:t>
      </w:r>
      <w:r w:rsidR="00024CC3" w:rsidRPr="00B667C4">
        <w:rPr>
          <w:rFonts w:asciiTheme="minorHAnsi" w:hAnsiTheme="minorHAnsi" w:cstheme="minorHAnsi"/>
          <w:sz w:val="22"/>
        </w:rPr>
        <w:t>element</w:t>
      </w:r>
      <w:r w:rsidR="00527051" w:rsidRPr="00B667C4">
        <w:rPr>
          <w:rFonts w:asciiTheme="minorHAnsi" w:hAnsiTheme="minorHAnsi" w:cstheme="minorHAnsi"/>
          <w:sz w:val="22"/>
        </w:rPr>
        <w:t>s</w:t>
      </w:r>
      <w:r w:rsidR="00024CC3" w:rsidRPr="00B667C4">
        <w:rPr>
          <w:rFonts w:asciiTheme="minorHAnsi" w:hAnsiTheme="minorHAnsi" w:cstheme="minorHAnsi"/>
          <w:sz w:val="22"/>
        </w:rPr>
        <w:t xml:space="preserve"> of </w:t>
      </w:r>
      <w:r w:rsidR="00F24FCB" w:rsidRPr="00B667C4">
        <w:rPr>
          <w:rFonts w:asciiTheme="minorHAnsi" w:hAnsiTheme="minorHAnsi" w:cstheme="minorHAnsi"/>
          <w:sz w:val="22"/>
        </w:rPr>
        <w:t xml:space="preserve">achieving </w:t>
      </w:r>
      <w:r w:rsidR="00137456" w:rsidRPr="00B667C4">
        <w:rPr>
          <w:rFonts w:asciiTheme="minorHAnsi" w:hAnsiTheme="minorHAnsi" w:cstheme="minorHAnsi"/>
          <w:sz w:val="22"/>
        </w:rPr>
        <w:t>greater integration</w:t>
      </w:r>
      <w:r w:rsidRPr="00B667C4">
        <w:rPr>
          <w:rFonts w:asciiTheme="minorHAnsi" w:hAnsiTheme="minorHAnsi" w:cstheme="minorHAnsi"/>
          <w:sz w:val="22"/>
        </w:rPr>
        <w:t xml:space="preserve">. Section 2 discusses </w:t>
      </w:r>
      <w:r w:rsidR="00527051" w:rsidRPr="00B667C4">
        <w:rPr>
          <w:rFonts w:asciiTheme="minorHAnsi" w:hAnsiTheme="minorHAnsi" w:cstheme="minorHAnsi"/>
          <w:sz w:val="22"/>
        </w:rPr>
        <w:t>some of the recent</w:t>
      </w:r>
      <w:r w:rsidR="00F24FCB" w:rsidRPr="00B667C4">
        <w:rPr>
          <w:rFonts w:asciiTheme="minorHAnsi" w:hAnsiTheme="minorHAnsi" w:cstheme="minorHAnsi"/>
          <w:sz w:val="22"/>
        </w:rPr>
        <w:t xml:space="preserve"> research literature on trade costs</w:t>
      </w:r>
      <w:r w:rsidR="00527051" w:rsidRPr="00B667C4">
        <w:rPr>
          <w:rFonts w:asciiTheme="minorHAnsi" w:hAnsiTheme="minorHAnsi" w:cstheme="minorHAnsi"/>
          <w:sz w:val="22"/>
        </w:rPr>
        <w:t xml:space="preserve"> which </w:t>
      </w:r>
      <w:r w:rsidR="00F24FCB" w:rsidRPr="00B667C4">
        <w:rPr>
          <w:rFonts w:asciiTheme="minorHAnsi" w:hAnsiTheme="minorHAnsi" w:cstheme="minorHAnsi"/>
          <w:sz w:val="22"/>
        </w:rPr>
        <w:t>has helped to mobilize a broad effort to implement initiatives to facilitate trade in goods</w:t>
      </w:r>
      <w:r w:rsidRPr="00B667C4">
        <w:rPr>
          <w:rFonts w:asciiTheme="minorHAnsi" w:hAnsiTheme="minorHAnsi" w:cstheme="minorHAnsi"/>
          <w:sz w:val="22"/>
        </w:rPr>
        <w:t xml:space="preserve">. </w:t>
      </w:r>
      <w:r w:rsidR="00527051" w:rsidRPr="00B667C4">
        <w:rPr>
          <w:rFonts w:asciiTheme="minorHAnsi" w:hAnsiTheme="minorHAnsi" w:cstheme="minorHAnsi"/>
          <w:sz w:val="22"/>
        </w:rPr>
        <w:t xml:space="preserve">In Section 3 we do the same for research on liberalization of </w:t>
      </w:r>
      <w:r w:rsidR="00101F31" w:rsidRPr="00B667C4">
        <w:rPr>
          <w:rFonts w:asciiTheme="minorHAnsi" w:hAnsiTheme="minorHAnsi" w:cstheme="minorHAnsi"/>
          <w:sz w:val="22"/>
        </w:rPr>
        <w:t>trade and investment in services</w:t>
      </w:r>
      <w:r w:rsidR="00527051" w:rsidRPr="00B667C4">
        <w:rPr>
          <w:rFonts w:asciiTheme="minorHAnsi" w:hAnsiTheme="minorHAnsi" w:cstheme="minorHAnsi"/>
          <w:sz w:val="22"/>
        </w:rPr>
        <w:t xml:space="preserve">. We argue that a common finding of recent analysis is to document the multidimensional nature of the reforms that are needed to achieve regional integration objectives, and that this calls for trade policy research to </w:t>
      </w:r>
      <w:r w:rsidR="00FA4BD6" w:rsidRPr="00B667C4">
        <w:rPr>
          <w:rFonts w:asciiTheme="minorHAnsi" w:hAnsiTheme="minorHAnsi" w:cstheme="minorHAnsi"/>
          <w:sz w:val="22"/>
        </w:rPr>
        <w:t>reflect and do more to engage with this complexity</w:t>
      </w:r>
      <w:r w:rsidR="00024CC3" w:rsidRPr="00B667C4">
        <w:rPr>
          <w:rFonts w:asciiTheme="minorHAnsi" w:hAnsiTheme="minorHAnsi" w:cstheme="minorHAnsi"/>
          <w:sz w:val="22"/>
        </w:rPr>
        <w:t xml:space="preserve">. Section </w:t>
      </w:r>
      <w:r w:rsidR="00520591" w:rsidRPr="00B667C4">
        <w:rPr>
          <w:rFonts w:asciiTheme="minorHAnsi" w:hAnsiTheme="minorHAnsi" w:cstheme="minorHAnsi"/>
          <w:sz w:val="22"/>
        </w:rPr>
        <w:t>4</w:t>
      </w:r>
      <w:r w:rsidR="00024CC3" w:rsidRPr="00B667C4">
        <w:rPr>
          <w:rFonts w:asciiTheme="minorHAnsi" w:hAnsiTheme="minorHAnsi" w:cstheme="minorHAnsi"/>
          <w:sz w:val="22"/>
        </w:rPr>
        <w:t xml:space="preserve"> </w:t>
      </w:r>
      <w:r w:rsidR="00101F31" w:rsidRPr="00B667C4">
        <w:rPr>
          <w:rFonts w:asciiTheme="minorHAnsi" w:hAnsiTheme="minorHAnsi" w:cstheme="minorHAnsi"/>
          <w:sz w:val="22"/>
        </w:rPr>
        <w:t xml:space="preserve">discusses </w:t>
      </w:r>
      <w:r w:rsidR="00FA4BD6" w:rsidRPr="00B667C4">
        <w:rPr>
          <w:rFonts w:asciiTheme="minorHAnsi" w:hAnsiTheme="minorHAnsi" w:cstheme="minorHAnsi"/>
          <w:sz w:val="22"/>
        </w:rPr>
        <w:t>some a</w:t>
      </w:r>
      <w:r w:rsidR="00137456" w:rsidRPr="00B667C4">
        <w:rPr>
          <w:rFonts w:asciiTheme="minorHAnsi" w:hAnsiTheme="minorHAnsi" w:cstheme="minorHAnsi"/>
          <w:sz w:val="22"/>
        </w:rPr>
        <w:t xml:space="preserve">reas </w:t>
      </w:r>
      <w:r w:rsidR="00520591" w:rsidRPr="00B667C4">
        <w:rPr>
          <w:rFonts w:asciiTheme="minorHAnsi" w:hAnsiTheme="minorHAnsi" w:cstheme="minorHAnsi"/>
          <w:sz w:val="22"/>
        </w:rPr>
        <w:t xml:space="preserve">where we believe policy-focused </w:t>
      </w:r>
      <w:r w:rsidR="00101F31" w:rsidRPr="00B667C4">
        <w:rPr>
          <w:rFonts w:asciiTheme="minorHAnsi" w:hAnsiTheme="minorHAnsi" w:cstheme="minorHAnsi"/>
          <w:sz w:val="22"/>
        </w:rPr>
        <w:t xml:space="preserve">research </w:t>
      </w:r>
      <w:r w:rsidR="00520591" w:rsidRPr="00B667C4">
        <w:rPr>
          <w:rFonts w:asciiTheme="minorHAnsi" w:hAnsiTheme="minorHAnsi" w:cstheme="minorHAnsi"/>
          <w:sz w:val="22"/>
        </w:rPr>
        <w:t xml:space="preserve">can have large payoffs </w:t>
      </w:r>
      <w:r w:rsidR="00101F31" w:rsidRPr="00B667C4">
        <w:rPr>
          <w:rFonts w:asciiTheme="minorHAnsi" w:hAnsiTheme="minorHAnsi" w:cstheme="minorHAnsi"/>
          <w:sz w:val="22"/>
        </w:rPr>
        <w:t xml:space="preserve">from </w:t>
      </w:r>
      <w:r w:rsidR="00FA4BD6" w:rsidRPr="00B667C4">
        <w:rPr>
          <w:rFonts w:asciiTheme="minorHAnsi" w:hAnsiTheme="minorHAnsi" w:cstheme="minorHAnsi"/>
          <w:sz w:val="22"/>
        </w:rPr>
        <w:t xml:space="preserve">the perspective of supporting </w:t>
      </w:r>
      <w:r w:rsidR="00101F31" w:rsidRPr="00B667C4">
        <w:rPr>
          <w:rFonts w:asciiTheme="minorHAnsi" w:hAnsiTheme="minorHAnsi" w:cstheme="minorHAnsi"/>
          <w:sz w:val="22"/>
        </w:rPr>
        <w:t>Africa</w:t>
      </w:r>
      <w:r w:rsidR="00520591" w:rsidRPr="00B667C4">
        <w:rPr>
          <w:rFonts w:asciiTheme="minorHAnsi" w:hAnsiTheme="minorHAnsi" w:cstheme="minorHAnsi"/>
          <w:sz w:val="22"/>
        </w:rPr>
        <w:t>n integration</w:t>
      </w:r>
      <w:r w:rsidR="00101F31" w:rsidRPr="00B667C4">
        <w:rPr>
          <w:rFonts w:asciiTheme="minorHAnsi" w:hAnsiTheme="minorHAnsi" w:cstheme="minorHAnsi"/>
          <w:sz w:val="22"/>
        </w:rPr>
        <w:t xml:space="preserve">. Section </w:t>
      </w:r>
      <w:r w:rsidR="00520591" w:rsidRPr="00B667C4">
        <w:rPr>
          <w:rFonts w:asciiTheme="minorHAnsi" w:hAnsiTheme="minorHAnsi" w:cstheme="minorHAnsi"/>
          <w:sz w:val="22"/>
        </w:rPr>
        <w:t>5</w:t>
      </w:r>
      <w:r w:rsidR="00101F31" w:rsidRPr="00B667C4">
        <w:rPr>
          <w:rFonts w:asciiTheme="minorHAnsi" w:hAnsiTheme="minorHAnsi" w:cstheme="minorHAnsi"/>
          <w:sz w:val="22"/>
        </w:rPr>
        <w:t xml:space="preserve"> </w:t>
      </w:r>
      <w:r w:rsidR="00024CC3" w:rsidRPr="00B667C4">
        <w:rPr>
          <w:rFonts w:asciiTheme="minorHAnsi" w:hAnsiTheme="minorHAnsi" w:cstheme="minorHAnsi"/>
          <w:sz w:val="22"/>
        </w:rPr>
        <w:t>concludes.</w:t>
      </w:r>
    </w:p>
    <w:p w14:paraId="13A39554" w14:textId="6E97DF56" w:rsidR="004F5211" w:rsidRPr="00B667C4" w:rsidRDefault="004F5211" w:rsidP="008A3214">
      <w:pPr>
        <w:pStyle w:val="ListParagraph"/>
        <w:numPr>
          <w:ilvl w:val="0"/>
          <w:numId w:val="17"/>
        </w:numPr>
        <w:spacing w:before="240" w:after="120" w:line="276" w:lineRule="auto"/>
        <w:rPr>
          <w:rFonts w:asciiTheme="minorHAnsi" w:hAnsiTheme="minorHAnsi" w:cstheme="minorHAnsi"/>
          <w:b/>
          <w:color w:val="000000"/>
          <w:sz w:val="22"/>
        </w:rPr>
      </w:pPr>
      <w:r w:rsidRPr="00B667C4">
        <w:rPr>
          <w:rFonts w:asciiTheme="minorHAnsi" w:hAnsiTheme="minorHAnsi" w:cstheme="minorHAnsi"/>
          <w:b/>
          <w:color w:val="000000"/>
          <w:sz w:val="22"/>
        </w:rPr>
        <w:t>African</w:t>
      </w:r>
      <w:r w:rsidR="00137456" w:rsidRPr="00B667C4">
        <w:rPr>
          <w:rFonts w:asciiTheme="minorHAnsi" w:hAnsiTheme="minorHAnsi" w:cstheme="minorHAnsi"/>
          <w:b/>
          <w:color w:val="000000"/>
          <w:sz w:val="22"/>
        </w:rPr>
        <w:t xml:space="preserve"> Trade </w:t>
      </w:r>
      <w:r w:rsidR="00160E6F" w:rsidRPr="00B667C4">
        <w:rPr>
          <w:rFonts w:asciiTheme="minorHAnsi" w:hAnsiTheme="minorHAnsi" w:cstheme="minorHAnsi"/>
          <w:b/>
          <w:color w:val="000000"/>
          <w:sz w:val="22"/>
        </w:rPr>
        <w:t xml:space="preserve">Development </w:t>
      </w:r>
      <w:r w:rsidRPr="00B667C4">
        <w:rPr>
          <w:rFonts w:asciiTheme="minorHAnsi" w:hAnsiTheme="minorHAnsi" w:cstheme="minorHAnsi"/>
          <w:b/>
          <w:color w:val="000000"/>
          <w:sz w:val="22"/>
        </w:rPr>
        <w:t>Priorities post-2015</w:t>
      </w:r>
    </w:p>
    <w:p w14:paraId="31FEE2CE" w14:textId="5B703081" w:rsidR="00CD04F1" w:rsidRPr="00B667C4" w:rsidRDefault="00A60041" w:rsidP="00CD04F1">
      <w:pPr>
        <w:spacing w:after="120" w:line="276" w:lineRule="auto"/>
        <w:rPr>
          <w:rFonts w:asciiTheme="minorHAnsi" w:eastAsia="Times New Roman" w:hAnsiTheme="minorHAnsi" w:cstheme="minorHAnsi"/>
          <w:color w:val="000000" w:themeColor="text1"/>
          <w:sz w:val="22"/>
        </w:rPr>
      </w:pPr>
      <w:r w:rsidRPr="00B667C4">
        <w:rPr>
          <w:rFonts w:asciiTheme="minorHAnsi" w:eastAsia="Times New Roman" w:hAnsiTheme="minorHAnsi" w:cstheme="minorHAnsi"/>
          <w:color w:val="000000" w:themeColor="text1"/>
          <w:sz w:val="22"/>
        </w:rPr>
        <w:t xml:space="preserve">The development agenda adopted by the United Nations in 2015 aims at achieving, by 2030, a set of sustainable development goals (SDGs) encompassing social, economic and environmental dimensions. The SDGs include all eight of the Millennium Development Goals and expand on these to cover other dimensions of development (e.g. reducing inequality, economic growth, decent jobs, industrialization, access to energy, peace and justice and environmental sustainability). Trade is an important means of </w:t>
      </w:r>
      <w:r w:rsidR="00CD04F1" w:rsidRPr="00B667C4">
        <w:rPr>
          <w:rFonts w:asciiTheme="minorHAnsi" w:eastAsia="Times New Roman" w:hAnsiTheme="minorHAnsi" w:cstheme="minorHAnsi"/>
          <w:color w:val="000000" w:themeColor="text1"/>
          <w:sz w:val="22"/>
        </w:rPr>
        <w:t xml:space="preserve">achieving the </w:t>
      </w:r>
      <w:r w:rsidRPr="00B667C4">
        <w:rPr>
          <w:rFonts w:asciiTheme="minorHAnsi" w:eastAsia="Times New Roman" w:hAnsiTheme="minorHAnsi" w:cstheme="minorHAnsi"/>
          <w:color w:val="000000" w:themeColor="text1"/>
          <w:sz w:val="22"/>
        </w:rPr>
        <w:t>SDGs</w:t>
      </w:r>
      <w:r w:rsidR="00CD04F1" w:rsidRPr="00B667C4">
        <w:rPr>
          <w:rFonts w:asciiTheme="minorHAnsi" w:eastAsia="Times New Roman" w:hAnsiTheme="minorHAnsi" w:cstheme="minorHAnsi"/>
          <w:color w:val="000000" w:themeColor="text1"/>
          <w:sz w:val="22"/>
        </w:rPr>
        <w:t xml:space="preserve"> because trade is a source of income growth, both directly through production for export and giving firms and households access to imports that are cheaper and/or better than what is available locally, and indirectly as a channel for technology transfer and learning. </w:t>
      </w:r>
      <w:r w:rsidRPr="00B667C4">
        <w:rPr>
          <w:rFonts w:asciiTheme="minorHAnsi" w:eastAsia="Times New Roman" w:hAnsiTheme="minorHAnsi" w:cstheme="minorHAnsi"/>
          <w:color w:val="000000" w:themeColor="text1"/>
          <w:sz w:val="22"/>
        </w:rPr>
        <w:t xml:space="preserve"> </w:t>
      </w:r>
      <w:r w:rsidR="00CD04F1" w:rsidRPr="00B667C4">
        <w:rPr>
          <w:rFonts w:asciiTheme="minorHAnsi" w:eastAsia="Times New Roman" w:hAnsiTheme="minorHAnsi" w:cstheme="minorHAnsi"/>
          <w:color w:val="000000" w:themeColor="text1"/>
          <w:sz w:val="22"/>
        </w:rPr>
        <w:t>Attaining the SDGs is also to a significant extent a services agenda. Thus, improving health and educational outcomes or reducing regional inequalities through better connectivity by bolstering transport and ICT networks all depend on improving the performance of the associated services sectors: health, education, transport, telecommunications, etc. Moreover, trade and FDI can help improve the supply of, and access to, such services.</w:t>
      </w:r>
    </w:p>
    <w:p w14:paraId="4CF317D6" w14:textId="1A4FB622" w:rsidR="0048765A" w:rsidRPr="00B667C4" w:rsidRDefault="0048765A" w:rsidP="003163C6">
      <w:pPr>
        <w:spacing w:after="120" w:line="276" w:lineRule="auto"/>
        <w:rPr>
          <w:rFonts w:asciiTheme="minorHAnsi" w:eastAsia="Times New Roman" w:hAnsiTheme="minorHAnsi" w:cstheme="minorHAnsi"/>
          <w:sz w:val="22"/>
        </w:rPr>
      </w:pPr>
      <w:r w:rsidRPr="00B667C4">
        <w:rPr>
          <w:rFonts w:asciiTheme="minorHAnsi" w:eastAsia="Times New Roman" w:hAnsiTheme="minorHAnsi" w:cstheme="minorHAnsi"/>
          <w:color w:val="000000" w:themeColor="text1"/>
          <w:sz w:val="22"/>
        </w:rPr>
        <w:t>Africa</w:t>
      </w:r>
      <w:r w:rsidR="00C660BE" w:rsidRPr="00B667C4">
        <w:rPr>
          <w:rFonts w:asciiTheme="minorHAnsi" w:eastAsia="Times New Roman" w:hAnsiTheme="minorHAnsi" w:cstheme="minorHAnsi"/>
          <w:color w:val="000000" w:themeColor="text1"/>
          <w:sz w:val="22"/>
        </w:rPr>
        <w:t>n leader</w:t>
      </w:r>
      <w:r w:rsidRPr="00B667C4">
        <w:rPr>
          <w:rFonts w:asciiTheme="minorHAnsi" w:eastAsia="Times New Roman" w:hAnsiTheme="minorHAnsi" w:cstheme="minorHAnsi"/>
          <w:color w:val="000000" w:themeColor="text1"/>
          <w:sz w:val="22"/>
        </w:rPr>
        <w:t>s</w:t>
      </w:r>
      <w:r w:rsidR="009A0144" w:rsidRPr="00B667C4">
        <w:rPr>
          <w:rFonts w:asciiTheme="minorHAnsi" w:eastAsia="Times New Roman" w:hAnsiTheme="minorHAnsi" w:cstheme="minorHAnsi"/>
          <w:color w:val="000000" w:themeColor="text1"/>
          <w:sz w:val="22"/>
        </w:rPr>
        <w:t>’</w:t>
      </w:r>
      <w:r w:rsidRPr="00B667C4">
        <w:rPr>
          <w:rFonts w:asciiTheme="minorHAnsi" w:eastAsia="Times New Roman" w:hAnsiTheme="minorHAnsi" w:cstheme="minorHAnsi"/>
          <w:color w:val="000000" w:themeColor="text1"/>
          <w:sz w:val="22"/>
        </w:rPr>
        <w:t xml:space="preserve"> </w:t>
      </w:r>
      <w:r w:rsidR="00C660BE" w:rsidRPr="00B667C4">
        <w:rPr>
          <w:rFonts w:asciiTheme="minorHAnsi" w:eastAsia="Times New Roman" w:hAnsiTheme="minorHAnsi" w:cstheme="minorHAnsi"/>
          <w:color w:val="000000" w:themeColor="text1"/>
          <w:sz w:val="22"/>
        </w:rPr>
        <w:t xml:space="preserve">stated </w:t>
      </w:r>
      <w:r w:rsidR="00736166" w:rsidRPr="00B667C4">
        <w:rPr>
          <w:rFonts w:asciiTheme="minorHAnsi" w:eastAsia="Times New Roman" w:hAnsiTheme="minorHAnsi" w:cstheme="minorHAnsi"/>
          <w:color w:val="000000" w:themeColor="text1"/>
          <w:sz w:val="22"/>
        </w:rPr>
        <w:t xml:space="preserve">trade priorities largely revolve around </w:t>
      </w:r>
      <w:r w:rsidRPr="00B667C4">
        <w:rPr>
          <w:rFonts w:asciiTheme="minorHAnsi" w:eastAsia="Times New Roman" w:hAnsiTheme="minorHAnsi" w:cstheme="minorHAnsi"/>
          <w:color w:val="000000" w:themeColor="text1"/>
          <w:sz w:val="22"/>
        </w:rPr>
        <w:t>regional integration</w:t>
      </w:r>
      <w:r w:rsidR="00736166" w:rsidRPr="00B667C4">
        <w:rPr>
          <w:rFonts w:asciiTheme="minorHAnsi" w:eastAsia="Times New Roman" w:hAnsiTheme="minorHAnsi" w:cstheme="minorHAnsi"/>
          <w:color w:val="000000" w:themeColor="text1"/>
          <w:sz w:val="22"/>
        </w:rPr>
        <w:t xml:space="preserve">. The </w:t>
      </w:r>
      <w:r w:rsidRPr="00B667C4">
        <w:rPr>
          <w:rFonts w:asciiTheme="minorHAnsi" w:eastAsia="Times New Roman" w:hAnsiTheme="minorHAnsi" w:cstheme="minorHAnsi"/>
          <w:color w:val="000000" w:themeColor="text1"/>
          <w:sz w:val="22"/>
        </w:rPr>
        <w:t xml:space="preserve">Agenda 2063 (or A2063) provides a vision for an economic transformation of Africa that would produce “an integrated, prosperous and peaceful Africa, driven by its own citizens and representing a dynamic force in the global arena.” This vision is captured beautifully as “The Africa We Want”. A2063 is a </w:t>
      </w:r>
      <w:r w:rsidR="00510ECF" w:rsidRPr="00B667C4">
        <w:rPr>
          <w:rFonts w:asciiTheme="minorHAnsi" w:eastAsia="Times New Roman" w:hAnsiTheme="minorHAnsi" w:cstheme="minorHAnsi"/>
          <w:color w:val="000000" w:themeColor="text1"/>
          <w:sz w:val="22"/>
        </w:rPr>
        <w:t>blueprint</w:t>
      </w:r>
      <w:r w:rsidRPr="00B667C4">
        <w:rPr>
          <w:rFonts w:asciiTheme="minorHAnsi" w:eastAsia="Times New Roman" w:hAnsiTheme="minorHAnsi" w:cstheme="minorHAnsi"/>
          <w:color w:val="000000" w:themeColor="text1"/>
          <w:sz w:val="22"/>
        </w:rPr>
        <w:t xml:space="preserve"> for a prosperous Africa, based on inclusive growth and sustainable development with economies structurally transformed to create shared growth, decent jobs and economic opportunities for all. The agenda </w:t>
      </w:r>
      <w:r w:rsidR="00736166" w:rsidRPr="00B667C4">
        <w:rPr>
          <w:rFonts w:asciiTheme="minorHAnsi" w:eastAsia="Times New Roman" w:hAnsiTheme="minorHAnsi" w:cstheme="minorHAnsi"/>
          <w:color w:val="000000" w:themeColor="text1"/>
          <w:sz w:val="22"/>
        </w:rPr>
        <w:t xml:space="preserve">envisages </w:t>
      </w:r>
      <w:r w:rsidRPr="00B667C4">
        <w:rPr>
          <w:rFonts w:asciiTheme="minorHAnsi" w:eastAsia="Times New Roman" w:hAnsiTheme="minorHAnsi" w:cstheme="minorHAnsi"/>
          <w:color w:val="000000" w:themeColor="text1"/>
          <w:sz w:val="22"/>
        </w:rPr>
        <w:t>a continent where the</w:t>
      </w:r>
      <w:r w:rsidR="00736166" w:rsidRPr="00B667C4">
        <w:rPr>
          <w:rFonts w:asciiTheme="minorHAnsi" w:eastAsia="Times New Roman" w:hAnsiTheme="minorHAnsi" w:cstheme="minorHAnsi"/>
          <w:color w:val="000000" w:themeColor="text1"/>
          <w:sz w:val="22"/>
        </w:rPr>
        <w:t>re is</w:t>
      </w:r>
      <w:r w:rsidRPr="00B667C4">
        <w:rPr>
          <w:rFonts w:asciiTheme="minorHAnsi" w:eastAsia="Times New Roman" w:hAnsiTheme="minorHAnsi" w:cstheme="minorHAnsi"/>
          <w:color w:val="000000" w:themeColor="text1"/>
          <w:sz w:val="22"/>
        </w:rPr>
        <w:t xml:space="preserve"> free movement </w:t>
      </w:r>
      <w:r w:rsidRPr="00B667C4">
        <w:rPr>
          <w:rFonts w:asciiTheme="minorHAnsi" w:eastAsia="Times New Roman" w:hAnsiTheme="minorHAnsi" w:cstheme="minorHAnsi"/>
          <w:sz w:val="22"/>
        </w:rPr>
        <w:t>of people, capital, goods and services</w:t>
      </w:r>
      <w:r w:rsidR="00736166" w:rsidRPr="00B667C4">
        <w:rPr>
          <w:rFonts w:asciiTheme="minorHAnsi" w:eastAsia="Times New Roman" w:hAnsiTheme="minorHAnsi" w:cstheme="minorHAnsi"/>
          <w:sz w:val="22"/>
        </w:rPr>
        <w:t xml:space="preserve">, boosting </w:t>
      </w:r>
      <w:r w:rsidRPr="00B667C4">
        <w:rPr>
          <w:rFonts w:asciiTheme="minorHAnsi" w:eastAsia="Times New Roman" w:hAnsiTheme="minorHAnsi" w:cstheme="minorHAnsi"/>
          <w:sz w:val="22"/>
        </w:rPr>
        <w:t>trade and investment among African countries to unprecedented levels</w:t>
      </w:r>
      <w:r w:rsidR="00736166" w:rsidRPr="00B667C4">
        <w:rPr>
          <w:rFonts w:asciiTheme="minorHAnsi" w:eastAsia="Times New Roman" w:hAnsiTheme="minorHAnsi" w:cstheme="minorHAnsi"/>
          <w:sz w:val="22"/>
        </w:rPr>
        <w:t xml:space="preserve"> and </w:t>
      </w:r>
      <w:r w:rsidRPr="00B667C4">
        <w:rPr>
          <w:rFonts w:asciiTheme="minorHAnsi" w:eastAsia="Times New Roman" w:hAnsiTheme="minorHAnsi" w:cstheme="minorHAnsi"/>
          <w:sz w:val="22"/>
        </w:rPr>
        <w:t>strengthening Africa’s p</w:t>
      </w:r>
      <w:r w:rsidR="00736166" w:rsidRPr="00B667C4">
        <w:rPr>
          <w:rFonts w:asciiTheme="minorHAnsi" w:eastAsia="Times New Roman" w:hAnsiTheme="minorHAnsi" w:cstheme="minorHAnsi"/>
          <w:sz w:val="22"/>
        </w:rPr>
        <w:t xml:space="preserve">osition </w:t>
      </w:r>
      <w:r w:rsidRPr="00B667C4">
        <w:rPr>
          <w:rFonts w:asciiTheme="minorHAnsi" w:eastAsia="Times New Roman" w:hAnsiTheme="minorHAnsi" w:cstheme="minorHAnsi"/>
          <w:sz w:val="22"/>
        </w:rPr>
        <w:t xml:space="preserve">in global trade. </w:t>
      </w:r>
    </w:p>
    <w:p w14:paraId="2C82063E" w14:textId="2F4E9D9D" w:rsidR="001D58E7" w:rsidRPr="00B667C4" w:rsidRDefault="0048765A" w:rsidP="003163C6">
      <w:pPr>
        <w:pStyle w:val="Normal1"/>
        <w:spacing w:after="120" w:line="276" w:lineRule="auto"/>
        <w:jc w:val="both"/>
        <w:rPr>
          <w:rFonts w:asciiTheme="minorHAnsi" w:eastAsia="Times New Roman" w:hAnsiTheme="minorHAnsi" w:cstheme="minorHAnsi"/>
        </w:rPr>
      </w:pPr>
      <w:r w:rsidRPr="00B667C4">
        <w:rPr>
          <w:rFonts w:asciiTheme="minorHAnsi" w:eastAsia="Times New Roman" w:hAnsiTheme="minorHAnsi" w:cstheme="minorHAnsi"/>
        </w:rPr>
        <w:t xml:space="preserve">Agenda 2063 </w:t>
      </w:r>
      <w:r w:rsidR="00D244C0" w:rsidRPr="00B667C4">
        <w:rPr>
          <w:rFonts w:asciiTheme="minorHAnsi" w:eastAsia="Times New Roman" w:hAnsiTheme="minorHAnsi" w:cstheme="minorHAnsi"/>
        </w:rPr>
        <w:t xml:space="preserve">calls for </w:t>
      </w:r>
      <w:r w:rsidRPr="00B667C4">
        <w:rPr>
          <w:rFonts w:asciiTheme="minorHAnsi" w:eastAsia="Times New Roman" w:hAnsiTheme="minorHAnsi" w:cstheme="minorHAnsi"/>
        </w:rPr>
        <w:t>a 50</w:t>
      </w:r>
      <w:r w:rsidR="00ED490E" w:rsidRPr="00B667C4">
        <w:rPr>
          <w:rFonts w:asciiTheme="minorHAnsi" w:eastAsia="Times New Roman" w:hAnsiTheme="minorHAnsi" w:cstheme="minorHAnsi"/>
        </w:rPr>
        <w:t xml:space="preserve"> percent </w:t>
      </w:r>
      <w:r w:rsidRPr="00B667C4">
        <w:rPr>
          <w:rFonts w:asciiTheme="minorHAnsi" w:eastAsia="Times New Roman" w:hAnsiTheme="minorHAnsi" w:cstheme="minorHAnsi"/>
        </w:rPr>
        <w:t>increase in intra-African trade by 2022. Th</w:t>
      </w:r>
      <w:r w:rsidR="00736166" w:rsidRPr="00B667C4">
        <w:rPr>
          <w:rFonts w:asciiTheme="minorHAnsi" w:eastAsia="Times New Roman" w:hAnsiTheme="minorHAnsi" w:cstheme="minorHAnsi"/>
        </w:rPr>
        <w:t xml:space="preserve">e institutional framework </w:t>
      </w:r>
      <w:r w:rsidRPr="00B667C4">
        <w:rPr>
          <w:rFonts w:asciiTheme="minorHAnsi" w:eastAsia="Times New Roman" w:hAnsiTheme="minorHAnsi" w:cstheme="minorHAnsi"/>
        </w:rPr>
        <w:t>for such tra</w:t>
      </w:r>
      <w:r w:rsidR="00736166" w:rsidRPr="00B667C4">
        <w:rPr>
          <w:rFonts w:asciiTheme="minorHAnsi" w:eastAsia="Times New Roman" w:hAnsiTheme="minorHAnsi" w:cstheme="minorHAnsi"/>
        </w:rPr>
        <w:t xml:space="preserve">de expansion </w:t>
      </w:r>
      <w:r w:rsidRPr="00B667C4">
        <w:rPr>
          <w:rFonts w:asciiTheme="minorHAnsi" w:eastAsia="Times New Roman" w:hAnsiTheme="minorHAnsi" w:cstheme="minorHAnsi"/>
        </w:rPr>
        <w:t>is the Continental Free Trade Area (CFTA)</w:t>
      </w:r>
      <w:r w:rsidR="00D244C0" w:rsidRPr="00B667C4">
        <w:rPr>
          <w:rFonts w:asciiTheme="minorHAnsi" w:eastAsia="Times New Roman" w:hAnsiTheme="minorHAnsi" w:cstheme="minorHAnsi"/>
        </w:rPr>
        <w:t>.</w:t>
      </w:r>
      <w:r w:rsidRPr="00B667C4">
        <w:rPr>
          <w:rFonts w:asciiTheme="minorHAnsi" w:eastAsia="Times New Roman" w:hAnsiTheme="minorHAnsi" w:cstheme="minorHAnsi"/>
        </w:rPr>
        <w:t xml:space="preserve"> The full implementation of the CFTA </w:t>
      </w:r>
      <w:r w:rsidR="00736166" w:rsidRPr="00B667C4">
        <w:rPr>
          <w:rFonts w:asciiTheme="minorHAnsi" w:eastAsia="Times New Roman" w:hAnsiTheme="minorHAnsi" w:cstheme="minorHAnsi"/>
        </w:rPr>
        <w:t>c</w:t>
      </w:r>
      <w:r w:rsidRPr="00B667C4">
        <w:rPr>
          <w:rFonts w:asciiTheme="minorHAnsi" w:eastAsia="Times New Roman" w:hAnsiTheme="minorHAnsi" w:cstheme="minorHAnsi"/>
        </w:rPr>
        <w:t>ould boost intra-African trade from current levels of 10-13</w:t>
      </w:r>
      <w:r w:rsidR="00ED490E" w:rsidRPr="00B667C4">
        <w:rPr>
          <w:rFonts w:asciiTheme="minorHAnsi" w:eastAsia="Times New Roman" w:hAnsiTheme="minorHAnsi" w:cstheme="minorHAnsi"/>
        </w:rPr>
        <w:t xml:space="preserve"> percent</w:t>
      </w:r>
      <w:r w:rsidRPr="00B667C4">
        <w:rPr>
          <w:rFonts w:asciiTheme="minorHAnsi" w:eastAsia="Times New Roman" w:hAnsiTheme="minorHAnsi" w:cstheme="minorHAnsi"/>
        </w:rPr>
        <w:t xml:space="preserve"> to 25</w:t>
      </w:r>
      <w:r w:rsidR="00ED490E" w:rsidRPr="00B667C4">
        <w:rPr>
          <w:rFonts w:asciiTheme="minorHAnsi" w:eastAsia="Times New Roman" w:hAnsiTheme="minorHAnsi" w:cstheme="minorHAnsi"/>
        </w:rPr>
        <w:t xml:space="preserve"> percent</w:t>
      </w:r>
      <w:r w:rsidRPr="00B667C4">
        <w:rPr>
          <w:rFonts w:asciiTheme="minorHAnsi" w:eastAsia="Times New Roman" w:hAnsiTheme="minorHAnsi" w:cstheme="minorHAnsi"/>
        </w:rPr>
        <w:t xml:space="preserve"> within the next decade, in the process achieving the A2063 intra-regional trade goal. Given the </w:t>
      </w:r>
      <w:r w:rsidR="00736166" w:rsidRPr="00B667C4">
        <w:rPr>
          <w:rFonts w:asciiTheme="minorHAnsi" w:eastAsia="Times New Roman" w:hAnsiTheme="minorHAnsi" w:cstheme="minorHAnsi"/>
        </w:rPr>
        <w:t xml:space="preserve">weak </w:t>
      </w:r>
      <w:r w:rsidRPr="00B667C4">
        <w:rPr>
          <w:rFonts w:asciiTheme="minorHAnsi" w:eastAsia="Times New Roman" w:hAnsiTheme="minorHAnsi" w:cstheme="minorHAnsi"/>
        </w:rPr>
        <w:t xml:space="preserve">performance of intra-African trade to date </w:t>
      </w:r>
      <w:r w:rsidR="00D244C0" w:rsidRPr="00B667C4">
        <w:rPr>
          <w:rFonts w:asciiTheme="minorHAnsi" w:eastAsia="Times New Roman" w:hAnsiTheme="minorHAnsi" w:cstheme="minorHAnsi"/>
        </w:rPr>
        <w:t>such</w:t>
      </w:r>
      <w:r w:rsidRPr="00B667C4">
        <w:rPr>
          <w:rFonts w:asciiTheme="minorHAnsi" w:eastAsia="Times New Roman" w:hAnsiTheme="minorHAnsi" w:cstheme="minorHAnsi"/>
        </w:rPr>
        <w:t xml:space="preserve"> </w:t>
      </w:r>
      <w:r w:rsidR="00736166" w:rsidRPr="00B667C4">
        <w:rPr>
          <w:rFonts w:asciiTheme="minorHAnsi" w:eastAsia="Times New Roman" w:hAnsiTheme="minorHAnsi" w:cstheme="minorHAnsi"/>
        </w:rPr>
        <w:t xml:space="preserve">growth </w:t>
      </w:r>
      <w:r w:rsidRPr="00B667C4">
        <w:rPr>
          <w:rFonts w:asciiTheme="minorHAnsi" w:eastAsia="Times New Roman" w:hAnsiTheme="minorHAnsi" w:cstheme="minorHAnsi"/>
        </w:rPr>
        <w:t xml:space="preserve">would be an important milestone in driving </w:t>
      </w:r>
      <w:r w:rsidR="00D244C0" w:rsidRPr="00B667C4">
        <w:rPr>
          <w:rFonts w:asciiTheme="minorHAnsi" w:eastAsia="Times New Roman" w:hAnsiTheme="minorHAnsi" w:cstheme="minorHAnsi"/>
        </w:rPr>
        <w:t xml:space="preserve">economic </w:t>
      </w:r>
      <w:r w:rsidRPr="00B667C4">
        <w:rPr>
          <w:rFonts w:asciiTheme="minorHAnsi" w:eastAsia="Times New Roman" w:hAnsiTheme="minorHAnsi" w:cstheme="minorHAnsi"/>
        </w:rPr>
        <w:t xml:space="preserve">transformation. Significant improvement in productive capacity, greater sophistication in manufacturing driven by value addition, and streamlined trade facilitation </w:t>
      </w:r>
      <w:r w:rsidR="00736166" w:rsidRPr="00B667C4">
        <w:rPr>
          <w:rFonts w:asciiTheme="minorHAnsi" w:eastAsia="Times New Roman" w:hAnsiTheme="minorHAnsi" w:cstheme="minorHAnsi"/>
        </w:rPr>
        <w:t xml:space="preserve">through </w:t>
      </w:r>
      <w:r w:rsidRPr="00B667C4">
        <w:rPr>
          <w:rFonts w:asciiTheme="minorHAnsi" w:eastAsia="Times New Roman" w:hAnsiTheme="minorHAnsi" w:cstheme="minorHAnsi"/>
        </w:rPr>
        <w:t xml:space="preserve">removal of non-tariff barriers, simplification of customs procedures and documentation, and </w:t>
      </w:r>
      <w:r w:rsidR="00006796" w:rsidRPr="00B667C4">
        <w:rPr>
          <w:rFonts w:asciiTheme="minorHAnsi" w:eastAsia="Times New Roman" w:hAnsiTheme="minorHAnsi" w:cstheme="minorHAnsi"/>
        </w:rPr>
        <w:t xml:space="preserve">more </w:t>
      </w:r>
      <w:r w:rsidR="00736166" w:rsidRPr="00B667C4">
        <w:rPr>
          <w:rFonts w:asciiTheme="minorHAnsi" w:eastAsia="Times New Roman" w:hAnsiTheme="minorHAnsi" w:cstheme="minorHAnsi"/>
        </w:rPr>
        <w:t xml:space="preserve">efficient </w:t>
      </w:r>
      <w:r w:rsidRPr="00B667C4">
        <w:rPr>
          <w:rFonts w:asciiTheme="minorHAnsi" w:eastAsia="Times New Roman" w:hAnsiTheme="minorHAnsi" w:cstheme="minorHAnsi"/>
        </w:rPr>
        <w:t xml:space="preserve">operation of Africa’s transport and transit corridors are </w:t>
      </w:r>
      <w:r w:rsidR="00736166" w:rsidRPr="00B667C4">
        <w:rPr>
          <w:rFonts w:asciiTheme="minorHAnsi" w:eastAsia="Times New Roman" w:hAnsiTheme="minorHAnsi" w:cstheme="minorHAnsi"/>
        </w:rPr>
        <w:t>critical to realizing th</w:t>
      </w:r>
      <w:r w:rsidR="00D244C0" w:rsidRPr="00B667C4">
        <w:rPr>
          <w:rFonts w:asciiTheme="minorHAnsi" w:eastAsia="Times New Roman" w:hAnsiTheme="minorHAnsi" w:cstheme="minorHAnsi"/>
        </w:rPr>
        <w:t>e</w:t>
      </w:r>
      <w:r w:rsidR="00736166" w:rsidRPr="00B667C4">
        <w:rPr>
          <w:rFonts w:asciiTheme="minorHAnsi" w:eastAsia="Times New Roman" w:hAnsiTheme="minorHAnsi" w:cstheme="minorHAnsi"/>
        </w:rPr>
        <w:t xml:space="preserve"> vision of intra-African trade expansion</w:t>
      </w:r>
      <w:r w:rsidR="001D58E7" w:rsidRPr="00B667C4">
        <w:rPr>
          <w:rFonts w:asciiTheme="minorHAnsi" w:eastAsia="Times New Roman" w:hAnsiTheme="minorHAnsi" w:cstheme="minorHAnsi"/>
        </w:rPr>
        <w:t>.</w:t>
      </w:r>
    </w:p>
    <w:p w14:paraId="775CE2E0" w14:textId="0123472B" w:rsidR="00045326" w:rsidRPr="00B667C4" w:rsidRDefault="0048765A" w:rsidP="003163C6">
      <w:pPr>
        <w:pStyle w:val="Normal1"/>
        <w:spacing w:after="120" w:line="276" w:lineRule="auto"/>
        <w:jc w:val="both"/>
        <w:rPr>
          <w:rFonts w:asciiTheme="minorHAnsi" w:hAnsiTheme="minorHAnsi" w:cstheme="minorHAnsi"/>
        </w:rPr>
      </w:pPr>
      <w:r w:rsidRPr="00B667C4">
        <w:rPr>
          <w:rFonts w:asciiTheme="minorHAnsi" w:hAnsiTheme="minorHAnsi" w:cstheme="minorHAnsi"/>
        </w:rPr>
        <w:t>The</w:t>
      </w:r>
      <w:r w:rsidR="00880239" w:rsidRPr="00B667C4">
        <w:rPr>
          <w:rFonts w:asciiTheme="minorHAnsi" w:hAnsiTheme="minorHAnsi" w:cstheme="minorHAnsi"/>
        </w:rPr>
        <w:t xml:space="preserve"> African Union’s</w:t>
      </w:r>
      <w:r w:rsidRPr="00B667C4">
        <w:rPr>
          <w:rFonts w:asciiTheme="minorHAnsi" w:hAnsiTheme="minorHAnsi" w:cstheme="minorHAnsi"/>
        </w:rPr>
        <w:t xml:space="preserve"> </w:t>
      </w:r>
      <w:r w:rsidR="00D244C0" w:rsidRPr="00B667C4">
        <w:rPr>
          <w:rFonts w:asciiTheme="minorHAnsi" w:hAnsiTheme="minorHAnsi" w:cstheme="minorHAnsi"/>
          <w:iCs/>
        </w:rPr>
        <w:t>‘</w:t>
      </w:r>
      <w:r w:rsidRPr="00B667C4">
        <w:rPr>
          <w:rFonts w:asciiTheme="minorHAnsi" w:hAnsiTheme="minorHAnsi" w:cstheme="minorHAnsi"/>
          <w:iCs/>
        </w:rPr>
        <w:t>Boosting Intra-Africa Trade</w:t>
      </w:r>
      <w:r w:rsidR="00D244C0" w:rsidRPr="00B667C4">
        <w:rPr>
          <w:rFonts w:asciiTheme="minorHAnsi" w:hAnsiTheme="minorHAnsi" w:cstheme="minorHAnsi"/>
          <w:iCs/>
        </w:rPr>
        <w:t>’</w:t>
      </w:r>
      <w:r w:rsidRPr="00B667C4">
        <w:rPr>
          <w:rFonts w:asciiTheme="minorHAnsi" w:hAnsiTheme="minorHAnsi" w:cstheme="minorHAnsi"/>
          <w:iCs/>
        </w:rPr>
        <w:t xml:space="preserve"> (BIAT) </w:t>
      </w:r>
      <w:r w:rsidR="00736166" w:rsidRPr="00B667C4">
        <w:rPr>
          <w:rFonts w:asciiTheme="minorHAnsi" w:hAnsiTheme="minorHAnsi" w:cstheme="minorHAnsi"/>
          <w:iCs/>
        </w:rPr>
        <w:t xml:space="preserve">initiative is aimed at accelerating </w:t>
      </w:r>
      <w:r w:rsidRPr="00B667C4">
        <w:rPr>
          <w:rFonts w:asciiTheme="minorHAnsi" w:hAnsiTheme="minorHAnsi" w:cstheme="minorHAnsi"/>
        </w:rPr>
        <w:t xml:space="preserve">the establishment of </w:t>
      </w:r>
      <w:r w:rsidR="00736166" w:rsidRPr="00B667C4">
        <w:rPr>
          <w:rFonts w:asciiTheme="minorHAnsi" w:hAnsiTheme="minorHAnsi" w:cstheme="minorHAnsi"/>
        </w:rPr>
        <w:t xml:space="preserve">the </w:t>
      </w:r>
      <w:r w:rsidRPr="00B667C4">
        <w:rPr>
          <w:rFonts w:asciiTheme="minorHAnsi" w:hAnsiTheme="minorHAnsi" w:cstheme="minorHAnsi"/>
        </w:rPr>
        <w:t>CFTA. BIAT</w:t>
      </w:r>
      <w:r w:rsidR="00D244C0" w:rsidRPr="00B667C4">
        <w:rPr>
          <w:rFonts w:asciiTheme="minorHAnsi" w:hAnsiTheme="minorHAnsi" w:cstheme="minorHAnsi"/>
        </w:rPr>
        <w:t xml:space="preserve">’s objectives are </w:t>
      </w:r>
      <w:r w:rsidR="00736166" w:rsidRPr="00B667C4">
        <w:rPr>
          <w:rFonts w:asciiTheme="minorHAnsi" w:hAnsiTheme="minorHAnsi" w:cstheme="minorHAnsi"/>
        </w:rPr>
        <w:t xml:space="preserve">to remove remaining </w:t>
      </w:r>
      <w:r w:rsidRPr="00B667C4">
        <w:rPr>
          <w:rFonts w:asciiTheme="minorHAnsi" w:hAnsiTheme="minorHAnsi" w:cstheme="minorHAnsi"/>
        </w:rPr>
        <w:t>tariffs a</w:t>
      </w:r>
      <w:r w:rsidR="00736166" w:rsidRPr="00B667C4">
        <w:rPr>
          <w:rFonts w:asciiTheme="minorHAnsi" w:hAnsiTheme="minorHAnsi" w:cstheme="minorHAnsi"/>
        </w:rPr>
        <w:t xml:space="preserve">s well as </w:t>
      </w:r>
      <w:r w:rsidRPr="00B667C4">
        <w:rPr>
          <w:rFonts w:asciiTheme="minorHAnsi" w:hAnsiTheme="minorHAnsi" w:cstheme="minorHAnsi"/>
        </w:rPr>
        <w:t xml:space="preserve">non-tariff barriers </w:t>
      </w:r>
      <w:r w:rsidR="00736166" w:rsidRPr="00B667C4">
        <w:rPr>
          <w:rFonts w:asciiTheme="minorHAnsi" w:hAnsiTheme="minorHAnsi" w:cstheme="minorHAnsi"/>
        </w:rPr>
        <w:t xml:space="preserve">and to </w:t>
      </w:r>
      <w:r w:rsidRPr="00B667C4">
        <w:rPr>
          <w:rFonts w:asciiTheme="minorHAnsi" w:hAnsiTheme="minorHAnsi" w:cstheme="minorHAnsi"/>
        </w:rPr>
        <w:t xml:space="preserve">revitalize the regional integration programs of </w:t>
      </w:r>
      <w:r w:rsidR="00736166" w:rsidRPr="00B667C4">
        <w:rPr>
          <w:rFonts w:asciiTheme="minorHAnsi" w:hAnsiTheme="minorHAnsi" w:cstheme="minorHAnsi"/>
        </w:rPr>
        <w:t xml:space="preserve">the various </w:t>
      </w:r>
      <w:r w:rsidRPr="00B667C4">
        <w:rPr>
          <w:rFonts w:asciiTheme="minorHAnsi" w:hAnsiTheme="minorHAnsi" w:cstheme="minorHAnsi"/>
        </w:rPr>
        <w:t>Regional Economic Communities (RECs)</w:t>
      </w:r>
      <w:r w:rsidR="00736166" w:rsidRPr="00B667C4">
        <w:rPr>
          <w:rFonts w:asciiTheme="minorHAnsi" w:hAnsiTheme="minorHAnsi" w:cstheme="minorHAnsi"/>
        </w:rPr>
        <w:t xml:space="preserve"> in Africa</w:t>
      </w:r>
      <w:r w:rsidRPr="00B667C4">
        <w:rPr>
          <w:rFonts w:asciiTheme="minorHAnsi" w:hAnsiTheme="minorHAnsi" w:cstheme="minorHAnsi"/>
        </w:rPr>
        <w:t>.</w:t>
      </w:r>
      <w:r w:rsidR="00045326" w:rsidRPr="00B667C4">
        <w:rPr>
          <w:rFonts w:asciiTheme="minorHAnsi" w:hAnsiTheme="minorHAnsi" w:cstheme="minorHAnsi"/>
        </w:rPr>
        <w:t xml:space="preserve"> </w:t>
      </w:r>
      <w:r w:rsidR="00D244C0" w:rsidRPr="00B667C4">
        <w:rPr>
          <w:rFonts w:asciiTheme="minorHAnsi" w:hAnsiTheme="minorHAnsi" w:cstheme="minorHAnsi"/>
        </w:rPr>
        <w:t xml:space="preserve">The </w:t>
      </w:r>
      <w:r w:rsidR="00045326" w:rsidRPr="00B667C4">
        <w:rPr>
          <w:rFonts w:asciiTheme="minorHAnsi" w:hAnsiTheme="minorHAnsi" w:cstheme="minorHAnsi"/>
        </w:rPr>
        <w:t xml:space="preserve">CFTA </w:t>
      </w:r>
      <w:r w:rsidR="00D244C0" w:rsidRPr="00B667C4">
        <w:rPr>
          <w:rFonts w:asciiTheme="minorHAnsi" w:hAnsiTheme="minorHAnsi" w:cstheme="minorHAnsi"/>
        </w:rPr>
        <w:t>will foster</w:t>
      </w:r>
      <w:r w:rsidR="00736166" w:rsidRPr="00B667C4">
        <w:rPr>
          <w:rFonts w:asciiTheme="minorHAnsi" w:hAnsiTheme="minorHAnsi" w:cstheme="minorHAnsi"/>
        </w:rPr>
        <w:t xml:space="preserve"> </w:t>
      </w:r>
      <w:r w:rsidR="00045326" w:rsidRPr="00B667C4">
        <w:rPr>
          <w:rFonts w:asciiTheme="minorHAnsi" w:hAnsiTheme="minorHAnsi" w:cstheme="minorHAnsi"/>
        </w:rPr>
        <w:t xml:space="preserve">rationalization of </w:t>
      </w:r>
      <w:r w:rsidR="00736166" w:rsidRPr="00B667C4">
        <w:rPr>
          <w:rFonts w:asciiTheme="minorHAnsi" w:hAnsiTheme="minorHAnsi" w:cstheme="minorHAnsi"/>
        </w:rPr>
        <w:t>r</w:t>
      </w:r>
      <w:r w:rsidR="00045326" w:rsidRPr="00B667C4">
        <w:rPr>
          <w:rFonts w:asciiTheme="minorHAnsi" w:hAnsiTheme="minorHAnsi" w:cstheme="minorHAnsi"/>
        </w:rPr>
        <w:t>egional integration process</w:t>
      </w:r>
      <w:r w:rsidR="00736166" w:rsidRPr="00B667C4">
        <w:rPr>
          <w:rFonts w:asciiTheme="minorHAnsi" w:hAnsiTheme="minorHAnsi" w:cstheme="minorHAnsi"/>
        </w:rPr>
        <w:t>es</w:t>
      </w:r>
      <w:r w:rsidR="00045326" w:rsidRPr="00B667C4">
        <w:rPr>
          <w:rFonts w:asciiTheme="minorHAnsi" w:hAnsiTheme="minorHAnsi" w:cstheme="minorHAnsi"/>
        </w:rPr>
        <w:t xml:space="preserve">, </w:t>
      </w:r>
      <w:r w:rsidR="00736166" w:rsidRPr="00B667C4">
        <w:rPr>
          <w:rFonts w:asciiTheme="minorHAnsi" w:hAnsiTheme="minorHAnsi" w:cstheme="minorHAnsi"/>
        </w:rPr>
        <w:t>starting with th</w:t>
      </w:r>
      <w:r w:rsidR="00045326" w:rsidRPr="00B667C4">
        <w:rPr>
          <w:rFonts w:asciiTheme="minorHAnsi" w:hAnsiTheme="minorHAnsi" w:cstheme="minorHAnsi"/>
        </w:rPr>
        <w:t xml:space="preserve">e consolidation of the East African Community (EAC), the Common Market for Eastern and Southern Africa (COMESA) and the Southern Africa Development </w:t>
      </w:r>
      <w:r w:rsidR="00D244C0" w:rsidRPr="00B667C4">
        <w:rPr>
          <w:rFonts w:asciiTheme="minorHAnsi" w:hAnsiTheme="minorHAnsi" w:cstheme="minorHAnsi"/>
        </w:rPr>
        <w:t>C</w:t>
      </w:r>
      <w:r w:rsidR="00045326" w:rsidRPr="00B667C4">
        <w:rPr>
          <w:rFonts w:asciiTheme="minorHAnsi" w:hAnsiTheme="minorHAnsi" w:cstheme="minorHAnsi"/>
        </w:rPr>
        <w:t xml:space="preserve">ommunity (SADC) </w:t>
      </w:r>
      <w:r w:rsidR="00286DCA" w:rsidRPr="00B667C4">
        <w:rPr>
          <w:rFonts w:asciiTheme="minorHAnsi" w:hAnsiTheme="minorHAnsi" w:cstheme="minorHAnsi"/>
        </w:rPr>
        <w:t xml:space="preserve">into the </w:t>
      </w:r>
      <w:r w:rsidR="00045326" w:rsidRPr="00B667C4">
        <w:rPr>
          <w:rFonts w:asciiTheme="minorHAnsi" w:hAnsiTheme="minorHAnsi" w:cstheme="minorHAnsi"/>
        </w:rPr>
        <w:t>Tri-Partite Free Trade Area</w:t>
      </w:r>
      <w:r w:rsidR="00286DCA" w:rsidRPr="00B667C4">
        <w:rPr>
          <w:rFonts w:asciiTheme="minorHAnsi" w:hAnsiTheme="minorHAnsi" w:cstheme="minorHAnsi"/>
        </w:rPr>
        <w:t xml:space="preserve"> (launched in June 2015)</w:t>
      </w:r>
      <w:r w:rsidR="00045326" w:rsidRPr="00B667C4">
        <w:rPr>
          <w:rFonts w:asciiTheme="minorHAnsi" w:hAnsiTheme="minorHAnsi" w:cstheme="minorHAnsi"/>
        </w:rPr>
        <w:t xml:space="preserve">. </w:t>
      </w:r>
      <w:r w:rsidR="00286DCA" w:rsidRPr="00B667C4">
        <w:rPr>
          <w:rFonts w:asciiTheme="minorHAnsi" w:hAnsiTheme="minorHAnsi" w:cstheme="minorHAnsi"/>
        </w:rPr>
        <w:t>In West Africa</w:t>
      </w:r>
      <w:r w:rsidR="00B74276" w:rsidRPr="00B667C4">
        <w:rPr>
          <w:rFonts w:asciiTheme="minorHAnsi" w:hAnsiTheme="minorHAnsi" w:cstheme="minorHAnsi"/>
        </w:rPr>
        <w:t>,</w:t>
      </w:r>
      <w:r w:rsidR="00286DCA" w:rsidRPr="00B667C4">
        <w:rPr>
          <w:rFonts w:asciiTheme="minorHAnsi" w:hAnsiTheme="minorHAnsi" w:cstheme="minorHAnsi"/>
        </w:rPr>
        <w:t xml:space="preserve"> the </w:t>
      </w:r>
      <w:r w:rsidR="00045326" w:rsidRPr="00B667C4">
        <w:rPr>
          <w:rFonts w:asciiTheme="minorHAnsi" w:hAnsiTheme="minorHAnsi" w:cstheme="minorHAnsi"/>
        </w:rPr>
        <w:t>Economic Community of West African States (ECOWAS)</w:t>
      </w:r>
      <w:r w:rsidR="00880239" w:rsidRPr="00B667C4">
        <w:rPr>
          <w:rFonts w:asciiTheme="minorHAnsi" w:hAnsiTheme="minorHAnsi" w:cstheme="minorHAnsi"/>
        </w:rPr>
        <w:t xml:space="preserve"> will build on</w:t>
      </w:r>
      <w:r w:rsidR="00286DCA" w:rsidRPr="00B667C4">
        <w:rPr>
          <w:rFonts w:asciiTheme="minorHAnsi" w:hAnsiTheme="minorHAnsi" w:cstheme="minorHAnsi"/>
        </w:rPr>
        <w:t xml:space="preserve"> a </w:t>
      </w:r>
      <w:r w:rsidR="00B74276" w:rsidRPr="00B667C4">
        <w:rPr>
          <w:rFonts w:asciiTheme="minorHAnsi" w:hAnsiTheme="minorHAnsi" w:cstheme="minorHAnsi"/>
        </w:rPr>
        <w:t xml:space="preserve">new Common External Tariff </w:t>
      </w:r>
      <w:r w:rsidR="00920EF0" w:rsidRPr="00B667C4">
        <w:rPr>
          <w:rFonts w:asciiTheme="minorHAnsi" w:hAnsiTheme="minorHAnsi" w:cstheme="minorHAnsi"/>
        </w:rPr>
        <w:t xml:space="preserve">that </w:t>
      </w:r>
      <w:r w:rsidR="00D862CB" w:rsidRPr="00B667C4">
        <w:rPr>
          <w:rFonts w:asciiTheme="minorHAnsi" w:hAnsiTheme="minorHAnsi" w:cstheme="minorHAnsi"/>
        </w:rPr>
        <w:t xml:space="preserve">is being </w:t>
      </w:r>
      <w:r w:rsidR="00920EF0" w:rsidRPr="00B667C4">
        <w:rPr>
          <w:rFonts w:asciiTheme="minorHAnsi" w:hAnsiTheme="minorHAnsi" w:cstheme="minorHAnsi"/>
        </w:rPr>
        <w:t xml:space="preserve">implemented </w:t>
      </w:r>
      <w:r w:rsidR="00D862CB" w:rsidRPr="00B667C4">
        <w:rPr>
          <w:rFonts w:asciiTheme="minorHAnsi" w:hAnsiTheme="minorHAnsi" w:cstheme="minorHAnsi"/>
        </w:rPr>
        <w:t>since</w:t>
      </w:r>
      <w:r w:rsidR="00920EF0" w:rsidRPr="00B667C4">
        <w:rPr>
          <w:rFonts w:asciiTheme="minorHAnsi" w:hAnsiTheme="minorHAnsi" w:cstheme="minorHAnsi"/>
        </w:rPr>
        <w:t xml:space="preserve"> </w:t>
      </w:r>
      <w:r w:rsidR="00286DCA" w:rsidRPr="00B667C4">
        <w:rPr>
          <w:rFonts w:asciiTheme="minorHAnsi" w:hAnsiTheme="minorHAnsi" w:cstheme="minorHAnsi"/>
        </w:rPr>
        <w:t>January 2015</w:t>
      </w:r>
      <w:r w:rsidR="00642593" w:rsidRPr="00B667C4">
        <w:rPr>
          <w:rFonts w:asciiTheme="minorHAnsi" w:hAnsiTheme="minorHAnsi" w:cstheme="minorHAnsi"/>
        </w:rPr>
        <w:t xml:space="preserve">. </w:t>
      </w:r>
      <w:r w:rsidR="00D244C0" w:rsidRPr="00B667C4">
        <w:rPr>
          <w:rFonts w:asciiTheme="minorHAnsi" w:hAnsiTheme="minorHAnsi" w:cstheme="minorHAnsi"/>
        </w:rPr>
        <w:t xml:space="preserve">On the external front, each African sub-region has negotiated (or is in the process of </w:t>
      </w:r>
      <w:r w:rsidR="00B74276" w:rsidRPr="00B667C4">
        <w:rPr>
          <w:rFonts w:asciiTheme="minorHAnsi" w:hAnsiTheme="minorHAnsi" w:cstheme="minorHAnsi"/>
        </w:rPr>
        <w:t>negotiating</w:t>
      </w:r>
      <w:r w:rsidR="00D244C0" w:rsidRPr="00B667C4">
        <w:rPr>
          <w:rFonts w:asciiTheme="minorHAnsi" w:hAnsiTheme="minorHAnsi" w:cstheme="minorHAnsi"/>
        </w:rPr>
        <w:t>) Economic Partnership Agreements (EPAs) with the European Union</w:t>
      </w:r>
      <w:r w:rsidR="00B74276" w:rsidRPr="00B667C4">
        <w:rPr>
          <w:rFonts w:asciiTheme="minorHAnsi" w:hAnsiTheme="minorHAnsi" w:cstheme="minorHAnsi"/>
        </w:rPr>
        <w:t xml:space="preserve"> (EU)</w:t>
      </w:r>
      <w:r w:rsidR="00D244C0" w:rsidRPr="00B667C4">
        <w:rPr>
          <w:rFonts w:asciiTheme="minorHAnsi" w:hAnsiTheme="minorHAnsi" w:cstheme="minorHAnsi"/>
        </w:rPr>
        <w:t>. Followi</w:t>
      </w:r>
      <w:r w:rsidR="00B74276" w:rsidRPr="00B667C4">
        <w:rPr>
          <w:rFonts w:asciiTheme="minorHAnsi" w:hAnsiTheme="minorHAnsi" w:cstheme="minorHAnsi"/>
        </w:rPr>
        <w:t xml:space="preserve">ng the demise of the Doha Round in 2015, </w:t>
      </w:r>
      <w:r w:rsidR="00D244C0" w:rsidRPr="00B667C4">
        <w:rPr>
          <w:rFonts w:asciiTheme="minorHAnsi" w:hAnsiTheme="minorHAnsi" w:cstheme="minorHAnsi"/>
        </w:rPr>
        <w:t xml:space="preserve">the </w:t>
      </w:r>
      <w:r w:rsidR="008D78EA" w:rsidRPr="00B667C4">
        <w:rPr>
          <w:rFonts w:asciiTheme="minorHAnsi" w:hAnsiTheme="minorHAnsi" w:cstheme="minorHAnsi"/>
        </w:rPr>
        <w:t>focus</w:t>
      </w:r>
      <w:r w:rsidR="00D244C0" w:rsidRPr="00B667C4">
        <w:rPr>
          <w:rFonts w:asciiTheme="minorHAnsi" w:hAnsiTheme="minorHAnsi" w:cstheme="minorHAnsi"/>
        </w:rPr>
        <w:t xml:space="preserve"> at the multilateral level is </w:t>
      </w:r>
      <w:r w:rsidR="008110E3" w:rsidRPr="00B667C4">
        <w:rPr>
          <w:rFonts w:asciiTheme="minorHAnsi" w:hAnsiTheme="minorHAnsi" w:cstheme="minorHAnsi"/>
        </w:rPr>
        <w:t xml:space="preserve">likely to be </w:t>
      </w:r>
      <w:r w:rsidR="00D244C0" w:rsidRPr="00B667C4">
        <w:rPr>
          <w:rFonts w:asciiTheme="minorHAnsi" w:hAnsiTheme="minorHAnsi" w:cstheme="minorHAnsi"/>
        </w:rPr>
        <w:t xml:space="preserve">on the </w:t>
      </w:r>
      <w:r w:rsidR="00880239" w:rsidRPr="00B667C4">
        <w:rPr>
          <w:rFonts w:asciiTheme="minorHAnsi" w:hAnsiTheme="minorHAnsi" w:cstheme="minorHAnsi"/>
        </w:rPr>
        <w:t xml:space="preserve">implementation of the </w:t>
      </w:r>
      <w:r w:rsidR="00D244C0" w:rsidRPr="00B667C4">
        <w:rPr>
          <w:rFonts w:asciiTheme="minorHAnsi" w:hAnsiTheme="minorHAnsi" w:cstheme="minorHAnsi"/>
        </w:rPr>
        <w:t xml:space="preserve">new </w:t>
      </w:r>
      <w:r w:rsidR="008110E3" w:rsidRPr="00B667C4">
        <w:rPr>
          <w:rFonts w:asciiTheme="minorHAnsi" w:hAnsiTheme="minorHAnsi" w:cstheme="minorHAnsi"/>
        </w:rPr>
        <w:t xml:space="preserve">WTO Agreement on </w:t>
      </w:r>
      <w:r w:rsidR="00D244C0" w:rsidRPr="00B667C4">
        <w:rPr>
          <w:rFonts w:asciiTheme="minorHAnsi" w:hAnsiTheme="minorHAnsi" w:cstheme="minorHAnsi"/>
        </w:rPr>
        <w:t>Trade Facilitation</w:t>
      </w:r>
      <w:r w:rsidR="008110E3" w:rsidRPr="00B667C4">
        <w:rPr>
          <w:rFonts w:asciiTheme="minorHAnsi" w:hAnsiTheme="minorHAnsi" w:cstheme="minorHAnsi"/>
        </w:rPr>
        <w:t xml:space="preserve"> (once it has entered into force in 2017)</w:t>
      </w:r>
      <w:r w:rsidR="00920EF0" w:rsidRPr="00B667C4">
        <w:rPr>
          <w:rFonts w:asciiTheme="minorHAnsi" w:hAnsiTheme="minorHAnsi" w:cstheme="minorHAnsi"/>
        </w:rPr>
        <w:t xml:space="preserve"> and </w:t>
      </w:r>
      <w:r w:rsidR="00B74276" w:rsidRPr="00B667C4">
        <w:rPr>
          <w:rFonts w:asciiTheme="minorHAnsi" w:hAnsiTheme="minorHAnsi" w:cstheme="minorHAnsi"/>
        </w:rPr>
        <w:t xml:space="preserve">the operation of </w:t>
      </w:r>
      <w:r w:rsidR="00D244C0" w:rsidRPr="00B667C4">
        <w:rPr>
          <w:rFonts w:asciiTheme="minorHAnsi" w:hAnsiTheme="minorHAnsi" w:cstheme="minorHAnsi"/>
        </w:rPr>
        <w:t>unilateral preferential marke</w:t>
      </w:r>
      <w:r w:rsidR="00B74276" w:rsidRPr="00B667C4">
        <w:rPr>
          <w:rFonts w:asciiTheme="minorHAnsi" w:hAnsiTheme="minorHAnsi" w:cstheme="minorHAnsi"/>
        </w:rPr>
        <w:t xml:space="preserve">t access programs </w:t>
      </w:r>
      <w:r w:rsidR="00920EF0" w:rsidRPr="00B667C4">
        <w:rPr>
          <w:rFonts w:asciiTheme="minorHAnsi" w:hAnsiTheme="minorHAnsi" w:cstheme="minorHAnsi"/>
        </w:rPr>
        <w:t xml:space="preserve">maintained </w:t>
      </w:r>
      <w:r w:rsidR="00B74276" w:rsidRPr="00B667C4">
        <w:rPr>
          <w:rFonts w:asciiTheme="minorHAnsi" w:hAnsiTheme="minorHAnsi" w:cstheme="minorHAnsi"/>
        </w:rPr>
        <w:t xml:space="preserve">by the EU, </w:t>
      </w:r>
      <w:r w:rsidR="00FA4BD6" w:rsidRPr="00B667C4">
        <w:rPr>
          <w:rFonts w:asciiTheme="minorHAnsi" w:hAnsiTheme="minorHAnsi" w:cstheme="minorHAnsi"/>
        </w:rPr>
        <w:t xml:space="preserve">the </w:t>
      </w:r>
      <w:r w:rsidR="00B74276" w:rsidRPr="00B667C4">
        <w:rPr>
          <w:rFonts w:asciiTheme="minorHAnsi" w:hAnsiTheme="minorHAnsi" w:cstheme="minorHAnsi"/>
        </w:rPr>
        <w:t xml:space="preserve">US, </w:t>
      </w:r>
      <w:r w:rsidR="00D244C0" w:rsidRPr="00B667C4">
        <w:rPr>
          <w:rFonts w:asciiTheme="minorHAnsi" w:hAnsiTheme="minorHAnsi" w:cstheme="minorHAnsi"/>
        </w:rPr>
        <w:t xml:space="preserve">other </w:t>
      </w:r>
      <w:r w:rsidR="00B74276" w:rsidRPr="00B667C4">
        <w:rPr>
          <w:rFonts w:asciiTheme="minorHAnsi" w:hAnsiTheme="minorHAnsi" w:cstheme="minorHAnsi"/>
        </w:rPr>
        <w:t xml:space="preserve">developed </w:t>
      </w:r>
      <w:r w:rsidR="00D244C0" w:rsidRPr="00B667C4">
        <w:rPr>
          <w:rFonts w:asciiTheme="minorHAnsi" w:hAnsiTheme="minorHAnsi" w:cstheme="minorHAnsi"/>
        </w:rPr>
        <w:t>countries</w:t>
      </w:r>
      <w:r w:rsidR="00B74276" w:rsidRPr="00B667C4">
        <w:rPr>
          <w:rFonts w:asciiTheme="minorHAnsi" w:hAnsiTheme="minorHAnsi" w:cstheme="minorHAnsi"/>
        </w:rPr>
        <w:t xml:space="preserve"> as well as major emerging economies</w:t>
      </w:r>
      <w:r w:rsidR="00D244C0" w:rsidRPr="00B667C4">
        <w:rPr>
          <w:rFonts w:asciiTheme="minorHAnsi" w:hAnsiTheme="minorHAnsi" w:cstheme="minorHAnsi"/>
        </w:rPr>
        <w:t xml:space="preserve">. </w:t>
      </w:r>
    </w:p>
    <w:p w14:paraId="7AAEE418" w14:textId="05968261" w:rsidR="00104B18" w:rsidRPr="00B667C4" w:rsidRDefault="00C205DC" w:rsidP="003163C6">
      <w:pPr>
        <w:pStyle w:val="Normal1"/>
        <w:spacing w:after="120" w:line="276" w:lineRule="auto"/>
        <w:jc w:val="both"/>
        <w:rPr>
          <w:rFonts w:asciiTheme="minorHAnsi" w:hAnsiTheme="minorHAnsi" w:cstheme="minorHAnsi"/>
        </w:rPr>
      </w:pPr>
      <w:r w:rsidRPr="00B667C4">
        <w:rPr>
          <w:rFonts w:asciiTheme="minorHAnsi" w:hAnsiTheme="minorHAnsi" w:cstheme="minorHAnsi"/>
        </w:rPr>
        <w:t>I</w:t>
      </w:r>
      <w:r w:rsidR="00F615A9" w:rsidRPr="00B667C4">
        <w:rPr>
          <w:rFonts w:asciiTheme="minorHAnsi" w:hAnsiTheme="minorHAnsi" w:cstheme="minorHAnsi"/>
        </w:rPr>
        <w:t>ntegrat</w:t>
      </w:r>
      <w:r w:rsidRPr="00B667C4">
        <w:rPr>
          <w:rFonts w:asciiTheme="minorHAnsi" w:hAnsiTheme="minorHAnsi" w:cstheme="minorHAnsi"/>
        </w:rPr>
        <w:t xml:space="preserve">ing the </w:t>
      </w:r>
      <w:r w:rsidR="00F615A9" w:rsidRPr="00B667C4">
        <w:rPr>
          <w:rFonts w:asciiTheme="minorHAnsi" w:hAnsiTheme="minorHAnsi" w:cstheme="minorHAnsi"/>
        </w:rPr>
        <w:t xml:space="preserve">African </w:t>
      </w:r>
      <w:r w:rsidRPr="00B667C4">
        <w:rPr>
          <w:rFonts w:asciiTheme="minorHAnsi" w:hAnsiTheme="minorHAnsi" w:cstheme="minorHAnsi"/>
        </w:rPr>
        <w:t>continent w</w:t>
      </w:r>
      <w:r w:rsidR="00F615A9" w:rsidRPr="00B667C4">
        <w:rPr>
          <w:rFonts w:asciiTheme="minorHAnsi" w:hAnsiTheme="minorHAnsi" w:cstheme="minorHAnsi"/>
        </w:rPr>
        <w:t xml:space="preserve">ill be a powerful driver to support progress towards achieving the </w:t>
      </w:r>
      <w:r w:rsidR="00130572" w:rsidRPr="00B667C4">
        <w:rPr>
          <w:rFonts w:asciiTheme="minorHAnsi" w:hAnsiTheme="minorHAnsi" w:cstheme="minorHAnsi"/>
        </w:rPr>
        <w:t>SDG</w:t>
      </w:r>
      <w:r w:rsidR="00F615A9" w:rsidRPr="00B667C4">
        <w:rPr>
          <w:rFonts w:asciiTheme="minorHAnsi" w:hAnsiTheme="minorHAnsi" w:cstheme="minorHAnsi"/>
        </w:rPr>
        <w:t>s. But realizing the</w:t>
      </w:r>
      <w:r w:rsidR="00104B18" w:rsidRPr="00B667C4">
        <w:rPr>
          <w:rFonts w:asciiTheme="minorHAnsi" w:hAnsiTheme="minorHAnsi" w:cstheme="minorHAnsi"/>
        </w:rPr>
        <w:t xml:space="preserve"> ambitious </w:t>
      </w:r>
      <w:r w:rsidR="00F615A9" w:rsidRPr="00B667C4">
        <w:rPr>
          <w:rFonts w:asciiTheme="minorHAnsi" w:hAnsiTheme="minorHAnsi" w:cstheme="minorHAnsi"/>
        </w:rPr>
        <w:t xml:space="preserve">intra-regional </w:t>
      </w:r>
      <w:r w:rsidR="00104B18" w:rsidRPr="00B667C4">
        <w:rPr>
          <w:rFonts w:asciiTheme="minorHAnsi" w:hAnsiTheme="minorHAnsi" w:cstheme="minorHAnsi"/>
        </w:rPr>
        <w:t xml:space="preserve">trade agenda </w:t>
      </w:r>
      <w:r w:rsidR="00F615A9" w:rsidRPr="00B667C4">
        <w:rPr>
          <w:rFonts w:asciiTheme="minorHAnsi" w:hAnsiTheme="minorHAnsi" w:cstheme="minorHAnsi"/>
        </w:rPr>
        <w:t xml:space="preserve">will require confronting </w:t>
      </w:r>
      <w:r w:rsidR="00104B18" w:rsidRPr="00B667C4">
        <w:rPr>
          <w:rFonts w:asciiTheme="minorHAnsi" w:hAnsiTheme="minorHAnsi" w:cstheme="minorHAnsi"/>
        </w:rPr>
        <w:t>key attributes of African trade policymaking, including</w:t>
      </w:r>
      <w:r w:rsidR="00F615A9" w:rsidRPr="00B667C4">
        <w:rPr>
          <w:rFonts w:asciiTheme="minorHAnsi" w:hAnsiTheme="minorHAnsi" w:cstheme="minorHAnsi"/>
        </w:rPr>
        <w:t xml:space="preserve">: </w:t>
      </w:r>
    </w:p>
    <w:p w14:paraId="306B77BF" w14:textId="4CDD0FBD" w:rsidR="00160E6F" w:rsidRPr="00B667C4" w:rsidRDefault="00160E6F"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Political economy forces opposing trade liberalization: while the marginal tariff reductions associated with deepening trade agreements are not very large in most cases, there will be adjustment costs for industries benefitting from above average MFN tariffs that, unless properly managed, may induce successful lobbying that prevent African countries from fully taking advantage of new market opportunities.</w:t>
      </w:r>
    </w:p>
    <w:p w14:paraId="57B1A604" w14:textId="2C17A47B" w:rsidR="009C7748" w:rsidRPr="00B667C4" w:rsidRDefault="009C7748"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Inter</w:t>
      </w:r>
      <w:r w:rsidR="00B667C4">
        <w:rPr>
          <w:rFonts w:asciiTheme="minorHAnsi" w:hAnsiTheme="minorHAnsi" w:cstheme="minorHAnsi"/>
        </w:rPr>
        <w:t>-</w:t>
      </w:r>
      <w:r w:rsidRPr="00B667C4">
        <w:rPr>
          <w:rFonts w:asciiTheme="minorHAnsi" w:hAnsiTheme="minorHAnsi" w:cstheme="minorHAnsi"/>
        </w:rPr>
        <w:t xml:space="preserve">REC liberalization: efforts have been made over the last three decades in autonomous liberalization at the national levels or within </w:t>
      </w:r>
      <w:r w:rsidR="00B667C4">
        <w:rPr>
          <w:rFonts w:asciiTheme="minorHAnsi" w:hAnsiTheme="minorHAnsi" w:cstheme="minorHAnsi"/>
        </w:rPr>
        <w:t>RECs</w:t>
      </w:r>
      <w:r w:rsidRPr="00B667C4">
        <w:rPr>
          <w:rFonts w:asciiTheme="minorHAnsi" w:hAnsiTheme="minorHAnsi" w:cstheme="minorHAnsi"/>
        </w:rPr>
        <w:t xml:space="preserve"> but less attention has been paid in liberalizing across region</w:t>
      </w:r>
      <w:r w:rsidR="00B667C4">
        <w:rPr>
          <w:rFonts w:asciiTheme="minorHAnsi" w:hAnsiTheme="minorHAnsi" w:cstheme="minorHAnsi"/>
        </w:rPr>
        <w:t>s</w:t>
      </w:r>
      <w:r w:rsidRPr="00B667C4">
        <w:rPr>
          <w:rFonts w:asciiTheme="minorHAnsi" w:hAnsiTheme="minorHAnsi" w:cstheme="minorHAnsi"/>
        </w:rPr>
        <w:t xml:space="preserve"> to the point that African exports between two countries that are in two different </w:t>
      </w:r>
      <w:r w:rsidR="00B667C4">
        <w:rPr>
          <w:rFonts w:asciiTheme="minorHAnsi" w:hAnsiTheme="minorHAnsi" w:cstheme="minorHAnsi"/>
        </w:rPr>
        <w:t>RECs</w:t>
      </w:r>
      <w:r w:rsidRPr="00B667C4">
        <w:rPr>
          <w:rFonts w:asciiTheme="minorHAnsi" w:hAnsiTheme="minorHAnsi" w:cstheme="minorHAnsi"/>
        </w:rPr>
        <w:t xml:space="preserve"> </w:t>
      </w:r>
      <w:r w:rsidR="00B667C4">
        <w:rPr>
          <w:rFonts w:asciiTheme="minorHAnsi" w:hAnsiTheme="minorHAnsi" w:cstheme="minorHAnsi"/>
        </w:rPr>
        <w:t xml:space="preserve">often </w:t>
      </w:r>
      <w:r w:rsidRPr="00B667C4">
        <w:rPr>
          <w:rFonts w:asciiTheme="minorHAnsi" w:hAnsiTheme="minorHAnsi" w:cstheme="minorHAnsi"/>
        </w:rPr>
        <w:t xml:space="preserve">face the highest tariffs. Likewise, cross border non-tariff barriers to trade are also highest for neighboring countries not members of the same </w:t>
      </w:r>
      <w:r w:rsidR="00B667C4">
        <w:rPr>
          <w:rFonts w:asciiTheme="minorHAnsi" w:hAnsiTheme="minorHAnsi" w:cstheme="minorHAnsi"/>
        </w:rPr>
        <w:t>REC. F</w:t>
      </w:r>
      <w:r w:rsidRPr="00B667C4">
        <w:rPr>
          <w:rFonts w:asciiTheme="minorHAnsi" w:hAnsiTheme="minorHAnsi" w:cstheme="minorHAnsi"/>
        </w:rPr>
        <w:t xml:space="preserve">ortunately </w:t>
      </w:r>
      <w:r w:rsidR="00B667C4" w:rsidRPr="00B667C4">
        <w:rPr>
          <w:rFonts w:asciiTheme="minorHAnsi" w:hAnsiTheme="minorHAnsi" w:cstheme="minorHAnsi"/>
        </w:rPr>
        <w:t xml:space="preserve">inter-REC liberalization </w:t>
      </w:r>
      <w:r w:rsidR="00B667C4">
        <w:rPr>
          <w:rFonts w:asciiTheme="minorHAnsi" w:hAnsiTheme="minorHAnsi" w:cstheme="minorHAnsi"/>
        </w:rPr>
        <w:t xml:space="preserve">is </w:t>
      </w:r>
      <w:r w:rsidRPr="00B667C4">
        <w:rPr>
          <w:rFonts w:asciiTheme="minorHAnsi" w:hAnsiTheme="minorHAnsi" w:cstheme="minorHAnsi"/>
        </w:rPr>
        <w:t xml:space="preserve">the focus </w:t>
      </w:r>
      <w:r w:rsidR="00B667C4">
        <w:rPr>
          <w:rFonts w:asciiTheme="minorHAnsi" w:hAnsiTheme="minorHAnsi" w:cstheme="minorHAnsi"/>
        </w:rPr>
        <w:t xml:space="preserve">of </w:t>
      </w:r>
      <w:r w:rsidRPr="00B667C4">
        <w:rPr>
          <w:rFonts w:asciiTheme="minorHAnsi" w:hAnsiTheme="minorHAnsi" w:cstheme="minorHAnsi"/>
        </w:rPr>
        <w:t>the CFTA work program.</w:t>
      </w:r>
    </w:p>
    <w:p w14:paraId="1261AA64" w14:textId="39F12889" w:rsidR="00104B18" w:rsidRPr="00B667C4" w:rsidRDefault="00104B18"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Lack of capacity of stakeholders to generate/use, screen and validate research and associated recommendations to properly inform policy making</w:t>
      </w:r>
      <w:r w:rsidR="00F615A9" w:rsidRPr="00B667C4">
        <w:rPr>
          <w:rFonts w:asciiTheme="minorHAnsi" w:hAnsiTheme="minorHAnsi" w:cstheme="minorHAnsi"/>
        </w:rPr>
        <w:t>;</w:t>
      </w:r>
    </w:p>
    <w:p w14:paraId="389149FC" w14:textId="6A4BEA8F" w:rsidR="00F615A9" w:rsidRPr="00B667C4" w:rsidRDefault="00F615A9"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Inadequate attention for the macro-economic dimension</w:t>
      </w:r>
      <w:r w:rsidR="00B81CF6" w:rsidRPr="00B667C4">
        <w:rPr>
          <w:rFonts w:asciiTheme="minorHAnsi" w:hAnsiTheme="minorHAnsi" w:cstheme="minorHAnsi"/>
        </w:rPr>
        <w:t>s</w:t>
      </w:r>
      <w:r w:rsidRPr="00B667C4">
        <w:rPr>
          <w:rFonts w:asciiTheme="minorHAnsi" w:hAnsiTheme="minorHAnsi" w:cstheme="minorHAnsi"/>
        </w:rPr>
        <w:t xml:space="preserve"> of trade policy</w:t>
      </w:r>
      <w:r w:rsidR="00B81CF6" w:rsidRPr="00B667C4">
        <w:rPr>
          <w:rFonts w:asciiTheme="minorHAnsi" w:hAnsiTheme="minorHAnsi" w:cstheme="minorHAnsi"/>
        </w:rPr>
        <w:t>, such as ensuring that the real exchange rate is not over-valued</w:t>
      </w:r>
      <w:r w:rsidRPr="00B667C4">
        <w:rPr>
          <w:rFonts w:asciiTheme="minorHAnsi" w:hAnsiTheme="minorHAnsi" w:cstheme="minorHAnsi"/>
        </w:rPr>
        <w:t>;</w:t>
      </w:r>
    </w:p>
    <w:p w14:paraId="47D272DB" w14:textId="52706C0A" w:rsidR="00104B18" w:rsidRPr="00B667C4" w:rsidRDefault="00104B18"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 xml:space="preserve">Weak and/or inappropriate </w:t>
      </w:r>
      <w:r w:rsidR="00012D5E" w:rsidRPr="00B667C4">
        <w:rPr>
          <w:rFonts w:asciiTheme="minorHAnsi" w:hAnsiTheme="minorHAnsi" w:cstheme="minorHAnsi"/>
        </w:rPr>
        <w:t xml:space="preserve">governance </w:t>
      </w:r>
      <w:r w:rsidRPr="00B667C4">
        <w:rPr>
          <w:rFonts w:asciiTheme="minorHAnsi" w:hAnsiTheme="minorHAnsi" w:cstheme="minorHAnsi"/>
        </w:rPr>
        <w:t>and regulatory frameworks for nurturing the nexus between trade, economic growth and development</w:t>
      </w:r>
      <w:r w:rsidR="00F615A9" w:rsidRPr="00B667C4">
        <w:rPr>
          <w:rFonts w:asciiTheme="minorHAnsi" w:hAnsiTheme="minorHAnsi" w:cstheme="minorHAnsi"/>
        </w:rPr>
        <w:t>;</w:t>
      </w:r>
    </w:p>
    <w:p w14:paraId="6F8D0A10" w14:textId="743E2CF7" w:rsidR="00104B18" w:rsidRPr="00B667C4" w:rsidRDefault="008110E3"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 xml:space="preserve">Limited efforts by </w:t>
      </w:r>
      <w:r w:rsidR="00104B18" w:rsidRPr="00B667C4">
        <w:rPr>
          <w:rFonts w:asciiTheme="minorHAnsi" w:hAnsiTheme="minorHAnsi" w:cstheme="minorHAnsi"/>
        </w:rPr>
        <w:t>national and regional policy-research organisations, business groups and civil society organisations to work effectively together</w:t>
      </w:r>
      <w:r w:rsidR="00F615A9" w:rsidRPr="00B667C4">
        <w:rPr>
          <w:rFonts w:asciiTheme="minorHAnsi" w:hAnsiTheme="minorHAnsi" w:cstheme="minorHAnsi"/>
        </w:rPr>
        <w:t>;</w:t>
      </w:r>
      <w:r w:rsidR="00C660BE" w:rsidRPr="00B667C4">
        <w:rPr>
          <w:rFonts w:asciiTheme="minorHAnsi" w:hAnsiTheme="minorHAnsi" w:cstheme="minorHAnsi"/>
        </w:rPr>
        <w:t xml:space="preserve"> and</w:t>
      </w:r>
    </w:p>
    <w:p w14:paraId="4CE5664B" w14:textId="4558A552" w:rsidR="003512B4" w:rsidRPr="00B667C4" w:rsidRDefault="00F615A9" w:rsidP="003163C6">
      <w:pPr>
        <w:pStyle w:val="Normal1"/>
        <w:numPr>
          <w:ilvl w:val="0"/>
          <w:numId w:val="20"/>
        </w:numPr>
        <w:spacing w:after="120" w:line="276" w:lineRule="auto"/>
        <w:ind w:left="1440"/>
        <w:jc w:val="both"/>
        <w:rPr>
          <w:rFonts w:asciiTheme="minorHAnsi" w:eastAsia="Times New Roman" w:hAnsiTheme="minorHAnsi" w:cstheme="minorHAnsi"/>
        </w:rPr>
      </w:pPr>
      <w:r w:rsidRPr="00B667C4">
        <w:rPr>
          <w:rFonts w:asciiTheme="minorHAnsi" w:hAnsiTheme="minorHAnsi" w:cstheme="minorHAnsi"/>
        </w:rPr>
        <w:t xml:space="preserve">A multiplicity </w:t>
      </w:r>
      <w:r w:rsidR="00104B18" w:rsidRPr="00B667C4">
        <w:rPr>
          <w:rFonts w:asciiTheme="minorHAnsi" w:hAnsiTheme="minorHAnsi" w:cstheme="minorHAnsi"/>
        </w:rPr>
        <w:t xml:space="preserve">of trade capacity building programs that often are </w:t>
      </w:r>
      <w:r w:rsidR="000939BB" w:rsidRPr="00B667C4">
        <w:rPr>
          <w:rFonts w:asciiTheme="minorHAnsi" w:hAnsiTheme="minorHAnsi" w:cstheme="minorHAnsi"/>
        </w:rPr>
        <w:t xml:space="preserve">too much </w:t>
      </w:r>
      <w:r w:rsidR="00104B18" w:rsidRPr="00B667C4">
        <w:rPr>
          <w:rFonts w:asciiTheme="minorHAnsi" w:hAnsiTheme="minorHAnsi" w:cstheme="minorHAnsi"/>
        </w:rPr>
        <w:t xml:space="preserve">aligned </w:t>
      </w:r>
      <w:r w:rsidR="000939BB" w:rsidRPr="00B667C4">
        <w:rPr>
          <w:rFonts w:asciiTheme="minorHAnsi" w:hAnsiTheme="minorHAnsi" w:cstheme="minorHAnsi"/>
        </w:rPr>
        <w:t>with do</w:t>
      </w:r>
      <w:r w:rsidR="00104B18" w:rsidRPr="00B667C4">
        <w:rPr>
          <w:rFonts w:asciiTheme="minorHAnsi" w:hAnsiTheme="minorHAnsi" w:cstheme="minorHAnsi"/>
        </w:rPr>
        <w:t>nor agenc</w:t>
      </w:r>
      <w:r w:rsidR="000939BB" w:rsidRPr="00B667C4">
        <w:rPr>
          <w:rFonts w:asciiTheme="minorHAnsi" w:hAnsiTheme="minorHAnsi" w:cstheme="minorHAnsi"/>
        </w:rPr>
        <w:t>y</w:t>
      </w:r>
      <w:r w:rsidR="00104B18" w:rsidRPr="00B667C4">
        <w:rPr>
          <w:rFonts w:asciiTheme="minorHAnsi" w:hAnsiTheme="minorHAnsi" w:cstheme="minorHAnsi"/>
        </w:rPr>
        <w:t xml:space="preserve"> priorities, or </w:t>
      </w:r>
      <w:r w:rsidR="00880239" w:rsidRPr="00B667C4">
        <w:rPr>
          <w:rFonts w:asciiTheme="minorHAnsi" w:hAnsiTheme="minorHAnsi" w:cstheme="minorHAnsi"/>
        </w:rPr>
        <w:t xml:space="preserve">programs </w:t>
      </w:r>
      <w:r w:rsidR="000939BB" w:rsidRPr="00B667C4">
        <w:rPr>
          <w:rFonts w:asciiTheme="minorHAnsi" w:hAnsiTheme="minorHAnsi" w:cstheme="minorHAnsi"/>
        </w:rPr>
        <w:t xml:space="preserve">that </w:t>
      </w:r>
      <w:r w:rsidR="00104B18" w:rsidRPr="00B667C4">
        <w:rPr>
          <w:rFonts w:asciiTheme="minorHAnsi" w:hAnsiTheme="minorHAnsi" w:cstheme="minorHAnsi"/>
        </w:rPr>
        <w:t>target specific and narrow aspects of the trade agenda</w:t>
      </w:r>
      <w:r w:rsidR="00C205DC" w:rsidRPr="00B667C4">
        <w:rPr>
          <w:rFonts w:asciiTheme="minorHAnsi" w:hAnsiTheme="minorHAnsi" w:cstheme="minorHAnsi"/>
        </w:rPr>
        <w:t>.</w:t>
      </w:r>
    </w:p>
    <w:p w14:paraId="769CF2E6" w14:textId="274A44F7" w:rsidR="001D5C40" w:rsidRPr="00B667C4" w:rsidRDefault="006E2681" w:rsidP="003163C6">
      <w:pPr>
        <w:pStyle w:val="Default"/>
        <w:spacing w:after="120" w:line="276" w:lineRule="auto"/>
        <w:jc w:val="both"/>
        <w:rPr>
          <w:rFonts w:asciiTheme="minorHAnsi" w:hAnsiTheme="minorHAnsi" w:cstheme="minorHAnsi"/>
          <w:sz w:val="22"/>
          <w:szCs w:val="22"/>
        </w:rPr>
      </w:pPr>
      <w:r w:rsidRPr="00B667C4">
        <w:rPr>
          <w:rFonts w:asciiTheme="minorHAnsi" w:hAnsiTheme="minorHAnsi" w:cstheme="minorHAnsi"/>
          <w:sz w:val="22"/>
          <w:szCs w:val="22"/>
        </w:rPr>
        <w:t xml:space="preserve">The ongoing process </w:t>
      </w:r>
      <w:r w:rsidR="00C660BE" w:rsidRPr="00B667C4">
        <w:rPr>
          <w:rFonts w:asciiTheme="minorHAnsi" w:hAnsiTheme="minorHAnsi" w:cstheme="minorHAnsi"/>
          <w:sz w:val="22"/>
          <w:szCs w:val="22"/>
        </w:rPr>
        <w:t xml:space="preserve">to develop </w:t>
      </w:r>
      <w:r w:rsidRPr="00B667C4">
        <w:rPr>
          <w:rFonts w:asciiTheme="minorHAnsi" w:hAnsiTheme="minorHAnsi" w:cstheme="minorHAnsi"/>
          <w:sz w:val="22"/>
          <w:szCs w:val="22"/>
        </w:rPr>
        <w:t xml:space="preserve">an integrated follow-up framework for A2063 and the </w:t>
      </w:r>
      <w:r w:rsidR="00ED490E" w:rsidRPr="00B667C4">
        <w:rPr>
          <w:rFonts w:asciiTheme="minorHAnsi" w:hAnsiTheme="minorHAnsi" w:cstheme="minorHAnsi"/>
          <w:sz w:val="22"/>
          <w:szCs w:val="22"/>
        </w:rPr>
        <w:t xml:space="preserve">UN </w:t>
      </w:r>
      <w:r w:rsidRPr="00B667C4">
        <w:rPr>
          <w:rFonts w:asciiTheme="minorHAnsi" w:hAnsiTheme="minorHAnsi" w:cstheme="minorHAnsi"/>
          <w:sz w:val="22"/>
          <w:szCs w:val="22"/>
        </w:rPr>
        <w:t xml:space="preserve">2030 </w:t>
      </w:r>
      <w:r w:rsidR="003F488B" w:rsidRPr="00B667C4">
        <w:rPr>
          <w:rFonts w:asciiTheme="minorHAnsi" w:hAnsiTheme="minorHAnsi" w:cstheme="minorHAnsi"/>
          <w:sz w:val="22"/>
          <w:szCs w:val="22"/>
        </w:rPr>
        <w:t xml:space="preserve">Sustainable Development </w:t>
      </w:r>
      <w:r w:rsidRPr="00B667C4">
        <w:rPr>
          <w:rFonts w:asciiTheme="minorHAnsi" w:hAnsiTheme="minorHAnsi" w:cstheme="minorHAnsi"/>
          <w:sz w:val="22"/>
          <w:szCs w:val="22"/>
        </w:rPr>
        <w:t xml:space="preserve">Agenda </w:t>
      </w:r>
      <w:r w:rsidR="00C205DC" w:rsidRPr="00B667C4">
        <w:rPr>
          <w:rFonts w:asciiTheme="minorHAnsi" w:hAnsiTheme="minorHAnsi" w:cstheme="minorHAnsi"/>
          <w:sz w:val="22"/>
          <w:szCs w:val="22"/>
        </w:rPr>
        <w:t xml:space="preserve">for Africa </w:t>
      </w:r>
      <w:r w:rsidRPr="00B667C4">
        <w:rPr>
          <w:rFonts w:asciiTheme="minorHAnsi" w:hAnsiTheme="minorHAnsi" w:cstheme="minorHAnsi"/>
          <w:sz w:val="22"/>
          <w:szCs w:val="22"/>
        </w:rPr>
        <w:t xml:space="preserve">is a welcome development (see </w:t>
      </w:r>
      <w:r w:rsidR="0090527F" w:rsidRPr="00B667C4">
        <w:rPr>
          <w:rFonts w:asciiTheme="minorHAnsi" w:hAnsiTheme="minorHAnsi" w:cstheme="minorHAnsi"/>
          <w:sz w:val="22"/>
          <w:szCs w:val="22"/>
        </w:rPr>
        <w:t>UN</w:t>
      </w:r>
      <w:r w:rsidRPr="00B667C4">
        <w:rPr>
          <w:rFonts w:asciiTheme="minorHAnsi" w:hAnsiTheme="minorHAnsi" w:cstheme="minorHAnsi"/>
          <w:sz w:val="22"/>
          <w:szCs w:val="22"/>
        </w:rPr>
        <w:t>ECA</w:t>
      </w:r>
      <w:r w:rsidR="0090527F" w:rsidRPr="00B667C4">
        <w:rPr>
          <w:rFonts w:asciiTheme="minorHAnsi" w:hAnsiTheme="minorHAnsi" w:cstheme="minorHAnsi"/>
          <w:sz w:val="22"/>
          <w:szCs w:val="22"/>
        </w:rPr>
        <w:t>,</w:t>
      </w:r>
      <w:r w:rsidRPr="00B667C4">
        <w:rPr>
          <w:rFonts w:asciiTheme="minorHAnsi" w:hAnsiTheme="minorHAnsi" w:cstheme="minorHAnsi"/>
          <w:sz w:val="22"/>
          <w:szCs w:val="22"/>
        </w:rPr>
        <w:t xml:space="preserve"> 2016). </w:t>
      </w:r>
      <w:r w:rsidR="003F488B" w:rsidRPr="00B667C4">
        <w:rPr>
          <w:rFonts w:asciiTheme="minorHAnsi" w:hAnsiTheme="minorHAnsi" w:cstheme="minorHAnsi"/>
          <w:sz w:val="22"/>
          <w:szCs w:val="22"/>
        </w:rPr>
        <w:t>From a trade perspective</w:t>
      </w:r>
      <w:r w:rsidR="00FD3224" w:rsidRPr="00B667C4">
        <w:rPr>
          <w:rFonts w:asciiTheme="minorHAnsi" w:hAnsiTheme="minorHAnsi" w:cstheme="minorHAnsi"/>
          <w:sz w:val="22"/>
          <w:szCs w:val="22"/>
        </w:rPr>
        <w:t xml:space="preserve">, </w:t>
      </w:r>
      <w:r w:rsidR="00D72C84" w:rsidRPr="00B667C4">
        <w:rPr>
          <w:rFonts w:asciiTheme="minorHAnsi" w:hAnsiTheme="minorHAnsi" w:cstheme="minorHAnsi"/>
          <w:sz w:val="22"/>
          <w:szCs w:val="22"/>
        </w:rPr>
        <w:t xml:space="preserve">we would argue that </w:t>
      </w:r>
      <w:r w:rsidR="003F488B" w:rsidRPr="00B667C4">
        <w:rPr>
          <w:rFonts w:asciiTheme="minorHAnsi" w:hAnsiTheme="minorHAnsi" w:cstheme="minorHAnsi"/>
          <w:sz w:val="22"/>
          <w:szCs w:val="22"/>
        </w:rPr>
        <w:t xml:space="preserve">a </w:t>
      </w:r>
      <w:r w:rsidR="003F488B" w:rsidRPr="00B667C4">
        <w:rPr>
          <w:rFonts w:asciiTheme="minorHAnsi" w:eastAsia="Times New Roman" w:hAnsiTheme="minorHAnsi" w:cstheme="minorHAnsi"/>
          <w:sz w:val="22"/>
          <w:szCs w:val="22"/>
        </w:rPr>
        <w:t xml:space="preserve">priority going forward </w:t>
      </w:r>
      <w:r w:rsidR="00FD3224" w:rsidRPr="00B667C4">
        <w:rPr>
          <w:rFonts w:asciiTheme="minorHAnsi" w:eastAsia="Times New Roman" w:hAnsiTheme="minorHAnsi" w:cstheme="minorHAnsi"/>
          <w:sz w:val="22"/>
          <w:szCs w:val="22"/>
        </w:rPr>
        <w:t xml:space="preserve">shall be </w:t>
      </w:r>
      <w:r w:rsidR="003F488B" w:rsidRPr="00B667C4">
        <w:rPr>
          <w:rFonts w:asciiTheme="minorHAnsi" w:hAnsiTheme="minorHAnsi" w:cstheme="minorHAnsi"/>
          <w:sz w:val="22"/>
          <w:szCs w:val="22"/>
        </w:rPr>
        <w:t xml:space="preserve">to </w:t>
      </w:r>
      <w:r w:rsidR="00F144C9" w:rsidRPr="00B667C4">
        <w:rPr>
          <w:rFonts w:asciiTheme="minorHAnsi" w:hAnsiTheme="minorHAnsi" w:cstheme="minorHAnsi"/>
          <w:sz w:val="22"/>
          <w:szCs w:val="22"/>
        </w:rPr>
        <w:t xml:space="preserve">design </w:t>
      </w:r>
      <w:r w:rsidR="003F488B" w:rsidRPr="00B667C4">
        <w:rPr>
          <w:rFonts w:asciiTheme="minorHAnsi" w:hAnsiTheme="minorHAnsi" w:cstheme="minorHAnsi"/>
          <w:sz w:val="22"/>
          <w:szCs w:val="22"/>
        </w:rPr>
        <w:t xml:space="preserve">mechanisms that are </w:t>
      </w:r>
      <w:r w:rsidR="00F144C9" w:rsidRPr="00B667C4">
        <w:rPr>
          <w:rFonts w:asciiTheme="minorHAnsi" w:hAnsiTheme="minorHAnsi" w:cstheme="minorHAnsi"/>
          <w:sz w:val="22"/>
          <w:szCs w:val="22"/>
        </w:rPr>
        <w:t xml:space="preserve">effective in addressing </w:t>
      </w:r>
      <w:r w:rsidR="00D72C84" w:rsidRPr="00B667C4">
        <w:rPr>
          <w:rFonts w:asciiTheme="minorHAnsi" w:hAnsiTheme="minorHAnsi" w:cstheme="minorHAnsi"/>
          <w:sz w:val="22"/>
          <w:szCs w:val="22"/>
        </w:rPr>
        <w:t xml:space="preserve">the largest </w:t>
      </w:r>
      <w:r w:rsidR="00C205DC" w:rsidRPr="00B667C4">
        <w:rPr>
          <w:rFonts w:asciiTheme="minorHAnsi" w:hAnsiTheme="minorHAnsi" w:cstheme="minorHAnsi"/>
          <w:sz w:val="22"/>
          <w:szCs w:val="22"/>
        </w:rPr>
        <w:t xml:space="preserve">trade constraints </w:t>
      </w:r>
      <w:r w:rsidR="00B963F2" w:rsidRPr="00B667C4">
        <w:rPr>
          <w:rFonts w:asciiTheme="minorHAnsi" w:hAnsiTheme="minorHAnsi" w:cstheme="minorHAnsi"/>
          <w:sz w:val="22"/>
          <w:szCs w:val="22"/>
        </w:rPr>
        <w:t>in the African context</w:t>
      </w:r>
      <w:r w:rsidRPr="00B667C4">
        <w:rPr>
          <w:rFonts w:asciiTheme="minorHAnsi" w:hAnsiTheme="minorHAnsi" w:cstheme="minorHAnsi"/>
          <w:sz w:val="22"/>
          <w:szCs w:val="22"/>
        </w:rPr>
        <w:t xml:space="preserve">. </w:t>
      </w:r>
      <w:r w:rsidR="008110E3" w:rsidRPr="00B667C4">
        <w:rPr>
          <w:rFonts w:asciiTheme="minorHAnsi" w:hAnsiTheme="minorHAnsi" w:cstheme="minorHAnsi"/>
          <w:sz w:val="22"/>
          <w:szCs w:val="22"/>
        </w:rPr>
        <w:t>A</w:t>
      </w:r>
      <w:r w:rsidR="00D72C84" w:rsidRPr="00B667C4">
        <w:rPr>
          <w:rFonts w:asciiTheme="minorHAnsi" w:hAnsiTheme="minorHAnsi" w:cstheme="minorHAnsi"/>
          <w:sz w:val="22"/>
          <w:szCs w:val="22"/>
        </w:rPr>
        <w:t xml:space="preserve">nalysis that </w:t>
      </w:r>
      <w:r w:rsidR="000C7CFB" w:rsidRPr="00B667C4">
        <w:rPr>
          <w:rFonts w:asciiTheme="minorHAnsi" w:hAnsiTheme="minorHAnsi" w:cstheme="minorHAnsi"/>
          <w:sz w:val="22"/>
          <w:szCs w:val="22"/>
        </w:rPr>
        <w:t>help</w:t>
      </w:r>
      <w:r w:rsidR="00D72C84" w:rsidRPr="00B667C4">
        <w:rPr>
          <w:rFonts w:asciiTheme="minorHAnsi" w:hAnsiTheme="minorHAnsi" w:cstheme="minorHAnsi"/>
          <w:sz w:val="22"/>
          <w:szCs w:val="22"/>
        </w:rPr>
        <w:t>s to</w:t>
      </w:r>
      <w:r w:rsidR="000C7CFB" w:rsidRPr="00B667C4">
        <w:rPr>
          <w:rFonts w:asciiTheme="minorHAnsi" w:hAnsiTheme="minorHAnsi" w:cstheme="minorHAnsi"/>
          <w:sz w:val="22"/>
          <w:szCs w:val="22"/>
        </w:rPr>
        <w:t xml:space="preserve"> identify what matters most – what c</w:t>
      </w:r>
      <w:r w:rsidR="008110E3" w:rsidRPr="00B667C4">
        <w:rPr>
          <w:rFonts w:asciiTheme="minorHAnsi" w:hAnsiTheme="minorHAnsi" w:cstheme="minorHAnsi"/>
          <w:sz w:val="22"/>
          <w:szCs w:val="22"/>
        </w:rPr>
        <w:t xml:space="preserve">ould </w:t>
      </w:r>
      <w:r w:rsidR="000C7CFB" w:rsidRPr="00B667C4">
        <w:rPr>
          <w:rFonts w:asciiTheme="minorHAnsi" w:hAnsiTheme="minorHAnsi" w:cstheme="minorHAnsi"/>
          <w:sz w:val="22"/>
          <w:szCs w:val="22"/>
        </w:rPr>
        <w:t xml:space="preserve">have the biggest </w:t>
      </w:r>
      <w:r w:rsidR="00D72C84" w:rsidRPr="00B667C4">
        <w:rPr>
          <w:rFonts w:asciiTheme="minorHAnsi" w:hAnsiTheme="minorHAnsi" w:cstheme="minorHAnsi"/>
          <w:sz w:val="22"/>
          <w:szCs w:val="22"/>
        </w:rPr>
        <w:t xml:space="preserve">positive economic </w:t>
      </w:r>
      <w:r w:rsidR="000C7CFB" w:rsidRPr="00B667C4">
        <w:rPr>
          <w:rFonts w:asciiTheme="minorHAnsi" w:hAnsiTheme="minorHAnsi" w:cstheme="minorHAnsi"/>
          <w:sz w:val="22"/>
          <w:szCs w:val="22"/>
        </w:rPr>
        <w:t xml:space="preserve">impact </w:t>
      </w:r>
      <w:r w:rsidR="00D72C84" w:rsidRPr="00B667C4">
        <w:rPr>
          <w:rFonts w:asciiTheme="minorHAnsi" w:hAnsiTheme="minorHAnsi" w:cstheme="minorHAnsi"/>
          <w:sz w:val="22"/>
          <w:szCs w:val="22"/>
        </w:rPr>
        <w:t>on investment</w:t>
      </w:r>
      <w:r w:rsidR="008110E3" w:rsidRPr="00B667C4">
        <w:rPr>
          <w:rFonts w:asciiTheme="minorHAnsi" w:hAnsiTheme="minorHAnsi" w:cstheme="minorHAnsi"/>
          <w:sz w:val="22"/>
          <w:szCs w:val="22"/>
        </w:rPr>
        <w:t xml:space="preserve"> and</w:t>
      </w:r>
      <w:r w:rsidR="00D72C84" w:rsidRPr="00B667C4">
        <w:rPr>
          <w:rFonts w:asciiTheme="minorHAnsi" w:hAnsiTheme="minorHAnsi" w:cstheme="minorHAnsi"/>
          <w:sz w:val="22"/>
          <w:szCs w:val="22"/>
        </w:rPr>
        <w:t xml:space="preserve"> employment – can have a</w:t>
      </w:r>
      <w:r w:rsidR="000C7CFB" w:rsidRPr="00B667C4">
        <w:rPr>
          <w:rFonts w:asciiTheme="minorHAnsi" w:hAnsiTheme="minorHAnsi" w:cstheme="minorHAnsi"/>
          <w:sz w:val="22"/>
          <w:szCs w:val="22"/>
        </w:rPr>
        <w:t xml:space="preserve"> high rate of return</w:t>
      </w:r>
      <w:r w:rsidR="008110E3" w:rsidRPr="00B667C4">
        <w:rPr>
          <w:rFonts w:asciiTheme="minorHAnsi" w:hAnsiTheme="minorHAnsi" w:cstheme="minorHAnsi"/>
          <w:sz w:val="22"/>
          <w:szCs w:val="22"/>
        </w:rPr>
        <w:t xml:space="preserve">, </w:t>
      </w:r>
      <w:r w:rsidR="00ED490E" w:rsidRPr="00B667C4">
        <w:rPr>
          <w:rFonts w:asciiTheme="minorHAnsi" w:hAnsiTheme="minorHAnsi" w:cstheme="minorHAnsi"/>
          <w:sz w:val="22"/>
          <w:szCs w:val="22"/>
        </w:rPr>
        <w:t xml:space="preserve">implying a need for </w:t>
      </w:r>
      <w:r w:rsidR="008110E3" w:rsidRPr="00B667C4">
        <w:rPr>
          <w:rFonts w:asciiTheme="minorHAnsi" w:hAnsiTheme="minorHAnsi" w:cstheme="minorHAnsi"/>
          <w:sz w:val="22"/>
          <w:szCs w:val="22"/>
        </w:rPr>
        <w:t>policy relevant research to drill down into the constituent elements of prevailing trade costs</w:t>
      </w:r>
      <w:r w:rsidR="00ED490E" w:rsidRPr="00B667C4">
        <w:rPr>
          <w:rFonts w:asciiTheme="minorHAnsi" w:hAnsiTheme="minorHAnsi" w:cstheme="minorHAnsi"/>
          <w:sz w:val="22"/>
          <w:szCs w:val="22"/>
        </w:rPr>
        <w:t>, trade and investment restrictions</w:t>
      </w:r>
      <w:r w:rsidR="008110E3" w:rsidRPr="00B667C4">
        <w:rPr>
          <w:rFonts w:asciiTheme="minorHAnsi" w:hAnsiTheme="minorHAnsi" w:cstheme="minorHAnsi"/>
          <w:sz w:val="22"/>
          <w:szCs w:val="22"/>
        </w:rPr>
        <w:t xml:space="preserve"> and the political economy forces that underpin the status quo</w:t>
      </w:r>
      <w:r w:rsidR="000C7CFB" w:rsidRPr="00B667C4">
        <w:rPr>
          <w:rFonts w:asciiTheme="minorHAnsi" w:hAnsiTheme="minorHAnsi" w:cstheme="minorHAnsi"/>
          <w:sz w:val="22"/>
          <w:szCs w:val="22"/>
        </w:rPr>
        <w:t>.</w:t>
      </w:r>
    </w:p>
    <w:p w14:paraId="11F9AA0E" w14:textId="3BBF4F16" w:rsidR="008A33DE" w:rsidRPr="00B667C4" w:rsidRDefault="008A33DE" w:rsidP="00134C4C">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The ubiquity of global value chains and the rapid pace of technological change that underpins the shift towards services and the digital economy challenge the traditional view of development as a process of structural transformation from agriculture into manufacturing</w:t>
      </w:r>
      <w:r w:rsidR="001108BC" w:rsidRPr="00B667C4">
        <w:rPr>
          <w:rFonts w:asciiTheme="minorHAnsi" w:hAnsiTheme="minorHAnsi" w:cstheme="minorHAnsi"/>
          <w:color w:val="000000" w:themeColor="text1"/>
          <w:sz w:val="22"/>
        </w:rPr>
        <w:t xml:space="preserve"> (Page, 2012)</w:t>
      </w:r>
      <w:r w:rsidRPr="00B667C4">
        <w:rPr>
          <w:rFonts w:asciiTheme="minorHAnsi" w:hAnsiTheme="minorHAnsi" w:cstheme="minorHAnsi"/>
          <w:color w:val="000000" w:themeColor="text1"/>
          <w:sz w:val="22"/>
        </w:rPr>
        <w:t>. In a value chain world firms specialize in specific activities where they are competitive and outsource other tasks to firms in and outside their host countries. Imports will often be a prerequisite for expansion of local production and export</w:t>
      </w:r>
      <w:r w:rsidRPr="00B667C4">
        <w:rPr>
          <w:rStyle w:val="A8"/>
          <w:rFonts w:asciiTheme="minorHAnsi" w:hAnsiTheme="minorHAnsi" w:cstheme="minorHAnsi"/>
          <w:color w:val="000000" w:themeColor="text1"/>
          <w:sz w:val="22"/>
          <w:szCs w:val="22"/>
        </w:rPr>
        <w:t xml:space="preserve"> growth, making it </w:t>
      </w:r>
      <w:r w:rsidRPr="00B667C4">
        <w:rPr>
          <w:rFonts w:asciiTheme="minorHAnsi" w:hAnsiTheme="minorHAnsi" w:cstheme="minorHAnsi"/>
          <w:color w:val="000000" w:themeColor="text1"/>
          <w:sz w:val="22"/>
        </w:rPr>
        <w:t>essential that impediments to trade are minimized. Trade facilitation, broadly construed to include services trade, is a core part of what will enable firms to participate in this type of production and trade</w:t>
      </w:r>
      <w:r w:rsidR="00134C4C" w:rsidRPr="00B667C4">
        <w:rPr>
          <w:rFonts w:asciiTheme="minorHAnsi" w:hAnsiTheme="minorHAnsi" w:cstheme="minorHAnsi"/>
          <w:color w:val="000000" w:themeColor="text1"/>
          <w:sz w:val="22"/>
        </w:rPr>
        <w:t>, in the process supporting the economic and structural transformation that is needed to diversify production and trade</w:t>
      </w:r>
      <w:r w:rsidR="006756F1">
        <w:rPr>
          <w:rFonts w:asciiTheme="minorHAnsi" w:hAnsiTheme="minorHAnsi" w:cstheme="minorHAnsi"/>
          <w:color w:val="000000" w:themeColor="text1"/>
          <w:sz w:val="22"/>
        </w:rPr>
        <w:t>.</w:t>
      </w:r>
    </w:p>
    <w:p w14:paraId="65C6DA92" w14:textId="77777777" w:rsidR="004F5211" w:rsidRPr="00B667C4" w:rsidRDefault="004F5211" w:rsidP="008A33DE">
      <w:pPr>
        <w:pStyle w:val="ListParagraph"/>
        <w:numPr>
          <w:ilvl w:val="0"/>
          <w:numId w:val="17"/>
        </w:numPr>
        <w:spacing w:before="240" w:after="120" w:line="276" w:lineRule="auto"/>
        <w:rPr>
          <w:rFonts w:asciiTheme="minorHAnsi" w:hAnsiTheme="minorHAnsi" w:cstheme="minorHAnsi"/>
          <w:b/>
          <w:color w:val="000000"/>
          <w:sz w:val="22"/>
        </w:rPr>
      </w:pPr>
      <w:r w:rsidRPr="00B667C4">
        <w:rPr>
          <w:rFonts w:asciiTheme="minorHAnsi" w:hAnsiTheme="minorHAnsi" w:cstheme="minorHAnsi"/>
          <w:b/>
          <w:color w:val="000000"/>
          <w:sz w:val="22"/>
        </w:rPr>
        <w:t>Trade facilitation</w:t>
      </w:r>
    </w:p>
    <w:p w14:paraId="5178B0FF" w14:textId="062F5245" w:rsidR="00130572" w:rsidRPr="00B667C4" w:rsidRDefault="00024CC3"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sz w:val="22"/>
        </w:rPr>
        <w:t>Participation in international production n</w:t>
      </w:r>
      <w:r w:rsidR="009D2B10" w:rsidRPr="00B667C4">
        <w:rPr>
          <w:rFonts w:asciiTheme="minorHAnsi" w:hAnsiTheme="minorHAnsi" w:cstheme="minorHAnsi"/>
          <w:sz w:val="22"/>
        </w:rPr>
        <w:t>etworks</w:t>
      </w:r>
      <w:r w:rsidRPr="00B667C4">
        <w:rPr>
          <w:rFonts w:asciiTheme="minorHAnsi" w:hAnsiTheme="minorHAnsi" w:cstheme="minorHAnsi"/>
          <w:sz w:val="22"/>
        </w:rPr>
        <w:t xml:space="preserve"> offers a </w:t>
      </w:r>
      <w:r w:rsidR="00130572" w:rsidRPr="00B667C4">
        <w:rPr>
          <w:rFonts w:asciiTheme="minorHAnsi" w:hAnsiTheme="minorHAnsi" w:cstheme="minorHAnsi"/>
          <w:sz w:val="22"/>
        </w:rPr>
        <w:t xml:space="preserve">mechanism </w:t>
      </w:r>
      <w:r w:rsidRPr="00B667C4">
        <w:rPr>
          <w:rFonts w:asciiTheme="minorHAnsi" w:hAnsiTheme="minorHAnsi" w:cstheme="minorHAnsi"/>
          <w:sz w:val="22"/>
        </w:rPr>
        <w:t xml:space="preserve">for even very poor countries to start </w:t>
      </w:r>
      <w:r w:rsidR="00130572" w:rsidRPr="00B667C4">
        <w:rPr>
          <w:rFonts w:asciiTheme="minorHAnsi" w:hAnsiTheme="minorHAnsi" w:cstheme="minorHAnsi"/>
          <w:sz w:val="22"/>
        </w:rPr>
        <w:t xml:space="preserve">producing </w:t>
      </w:r>
      <w:r w:rsidRPr="00B667C4">
        <w:rPr>
          <w:rFonts w:asciiTheme="minorHAnsi" w:hAnsiTheme="minorHAnsi" w:cstheme="minorHAnsi"/>
          <w:sz w:val="22"/>
        </w:rPr>
        <w:t>for the international market, either by adding value to traditional exports</w:t>
      </w:r>
      <w:r w:rsidR="00F37405" w:rsidRPr="00B667C4">
        <w:rPr>
          <w:rFonts w:asciiTheme="minorHAnsi" w:hAnsiTheme="minorHAnsi" w:cstheme="minorHAnsi"/>
          <w:sz w:val="22"/>
        </w:rPr>
        <w:t>, supplying inputs to domestic firms that export,</w:t>
      </w:r>
      <w:r w:rsidRPr="00B667C4">
        <w:rPr>
          <w:rFonts w:asciiTheme="minorHAnsi" w:hAnsiTheme="minorHAnsi" w:cstheme="minorHAnsi"/>
          <w:sz w:val="22"/>
        </w:rPr>
        <w:t xml:space="preserve"> or providing value added services to foreign buyers and foreign-owned companies that invest in the country. </w:t>
      </w:r>
      <w:r w:rsidR="00FD3B97" w:rsidRPr="00B667C4">
        <w:rPr>
          <w:rFonts w:asciiTheme="minorHAnsi" w:hAnsiTheme="minorHAnsi" w:cstheme="minorHAnsi"/>
          <w:color w:val="000000" w:themeColor="text1"/>
          <w:sz w:val="22"/>
        </w:rPr>
        <w:t>T</w:t>
      </w:r>
      <w:r w:rsidRPr="00B667C4">
        <w:rPr>
          <w:rFonts w:asciiTheme="minorHAnsi" w:hAnsiTheme="minorHAnsi" w:cstheme="minorHAnsi"/>
          <w:color w:val="000000" w:themeColor="text1"/>
          <w:sz w:val="22"/>
        </w:rPr>
        <w:t xml:space="preserve">here are significant opportunities for a step </w:t>
      </w:r>
      <w:r w:rsidR="00E94488" w:rsidRPr="00B667C4">
        <w:rPr>
          <w:rFonts w:asciiTheme="minorHAnsi" w:hAnsiTheme="minorHAnsi" w:cstheme="minorHAnsi"/>
          <w:color w:val="000000" w:themeColor="text1"/>
          <w:sz w:val="22"/>
        </w:rPr>
        <w:t xml:space="preserve">increase in supply chain trade </w:t>
      </w:r>
      <w:r w:rsidRPr="00B667C4">
        <w:rPr>
          <w:rFonts w:asciiTheme="minorHAnsi" w:hAnsiTheme="minorHAnsi" w:cstheme="minorHAnsi"/>
          <w:color w:val="000000" w:themeColor="text1"/>
          <w:sz w:val="22"/>
        </w:rPr>
        <w:t>in Africa (UNECA, 2013; Pesce, Karingi and Gebretensaye, 2015). M</w:t>
      </w:r>
      <w:r w:rsidRPr="00B667C4">
        <w:rPr>
          <w:rFonts w:asciiTheme="minorHAnsi" w:hAnsiTheme="minorHAnsi" w:cstheme="minorHAnsi"/>
          <w:sz w:val="22"/>
        </w:rPr>
        <w:t xml:space="preserve">uch has already been happening. Growth in horticulture exports has been particularly apparent in Africa over the last decade, as smallholder producers become integrated into </w:t>
      </w:r>
      <w:r w:rsidR="000E3D61" w:rsidRPr="00B667C4">
        <w:rPr>
          <w:rFonts w:asciiTheme="minorHAnsi" w:hAnsiTheme="minorHAnsi" w:cstheme="minorHAnsi"/>
          <w:sz w:val="22"/>
        </w:rPr>
        <w:t xml:space="preserve">agricultural </w:t>
      </w:r>
      <w:r w:rsidRPr="00B667C4">
        <w:rPr>
          <w:rFonts w:asciiTheme="minorHAnsi" w:hAnsiTheme="minorHAnsi" w:cstheme="minorHAnsi"/>
          <w:sz w:val="22"/>
        </w:rPr>
        <w:t>value chains. Horticulture exports from African co</w:t>
      </w:r>
      <w:r w:rsidR="00FD3224" w:rsidRPr="00B667C4">
        <w:rPr>
          <w:rFonts w:asciiTheme="minorHAnsi" w:hAnsiTheme="minorHAnsi" w:cstheme="minorHAnsi"/>
          <w:sz w:val="22"/>
        </w:rPr>
        <w:t>untries increased more than six-fold</w:t>
      </w:r>
      <w:r w:rsidRPr="00B667C4">
        <w:rPr>
          <w:rFonts w:asciiTheme="minorHAnsi" w:hAnsiTheme="minorHAnsi" w:cstheme="minorHAnsi"/>
          <w:sz w:val="22"/>
        </w:rPr>
        <w:t xml:space="preserve"> during the 2000s, with the share in global exports doubling from 3 to 6</w:t>
      </w:r>
      <w:r w:rsidR="004737B7" w:rsidRPr="00B667C4">
        <w:rPr>
          <w:rFonts w:asciiTheme="minorHAnsi" w:hAnsiTheme="minorHAnsi" w:cstheme="minorHAnsi"/>
          <w:sz w:val="22"/>
        </w:rPr>
        <w:t xml:space="preserve"> percent</w:t>
      </w:r>
      <w:r w:rsidRPr="00B667C4">
        <w:rPr>
          <w:rFonts w:asciiTheme="minorHAnsi" w:hAnsiTheme="minorHAnsi" w:cstheme="minorHAnsi"/>
          <w:sz w:val="22"/>
        </w:rPr>
        <w:t xml:space="preserve"> (Goger et al. 2013). Agribusiness and related processing </w:t>
      </w:r>
      <w:r w:rsidR="000E3D61" w:rsidRPr="00B667C4">
        <w:rPr>
          <w:rFonts w:asciiTheme="minorHAnsi" w:hAnsiTheme="minorHAnsi" w:cstheme="minorHAnsi"/>
          <w:sz w:val="22"/>
        </w:rPr>
        <w:t xml:space="preserve">activities </w:t>
      </w:r>
      <w:r w:rsidRPr="00B667C4">
        <w:rPr>
          <w:rFonts w:asciiTheme="minorHAnsi" w:hAnsiTheme="minorHAnsi" w:cstheme="minorHAnsi"/>
          <w:sz w:val="22"/>
        </w:rPr>
        <w:t xml:space="preserve">encourages locally based supply chain growth, with the farm sector producing the inputs that are needed in </w:t>
      </w:r>
      <w:r w:rsidR="000E3D61" w:rsidRPr="00B667C4">
        <w:rPr>
          <w:rFonts w:asciiTheme="minorHAnsi" w:hAnsiTheme="minorHAnsi" w:cstheme="minorHAnsi"/>
          <w:sz w:val="22"/>
        </w:rPr>
        <w:t xml:space="preserve">industrial </w:t>
      </w:r>
      <w:r w:rsidRPr="00B667C4">
        <w:rPr>
          <w:rFonts w:asciiTheme="minorHAnsi" w:hAnsiTheme="minorHAnsi" w:cstheme="minorHAnsi"/>
          <w:sz w:val="22"/>
        </w:rPr>
        <w:t>activities such as food processing, textiles, apparel, leather and footwear (</w:t>
      </w:r>
      <w:r w:rsidRPr="00B667C4">
        <w:rPr>
          <w:rFonts w:asciiTheme="minorHAnsi" w:eastAsia="MyriadPro-Regular" w:hAnsiTheme="minorHAnsi" w:cstheme="minorHAnsi"/>
          <w:sz w:val="22"/>
        </w:rPr>
        <w:t>ACET, 2014).</w:t>
      </w:r>
      <w:r w:rsidR="0024181D" w:rsidRPr="00B667C4">
        <w:rPr>
          <w:rFonts w:asciiTheme="minorHAnsi" w:eastAsia="MyriadPro-Regular" w:hAnsiTheme="minorHAnsi" w:cstheme="minorHAnsi"/>
          <w:sz w:val="22"/>
        </w:rPr>
        <w:t xml:space="preserve"> </w:t>
      </w:r>
      <w:r w:rsidR="00130572" w:rsidRPr="00B667C4">
        <w:rPr>
          <w:rFonts w:asciiTheme="minorHAnsi" w:hAnsiTheme="minorHAnsi" w:cstheme="minorHAnsi"/>
          <w:color w:val="000000" w:themeColor="text1"/>
          <w:sz w:val="22"/>
        </w:rPr>
        <w:t xml:space="preserve">Morris and Fessehaie (2015) and Kaplinsky and Morris (2015) argue that economic upgrading and capturing a greater share of the value of production in African countries initially can centre on leveraging natural resource endowments, both non-renewable and renewable (minerals, agribusiness, tourism) and on strengthening domestic/regional supply capacity to gradually build up an ecosystem of local suppliers. </w:t>
      </w:r>
    </w:p>
    <w:p w14:paraId="7A1205C6" w14:textId="5E717FB5" w:rsidR="005B3CD4" w:rsidRPr="00B667C4" w:rsidRDefault="0024181D"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sz w:val="22"/>
        </w:rPr>
        <w:t>Africa accounts for only 2 percent of global imports of intermediate products, parts and components</w:t>
      </w:r>
      <w:r w:rsidR="005B3CD4" w:rsidRPr="00B667C4">
        <w:rPr>
          <w:rFonts w:asciiTheme="minorHAnsi" w:hAnsiTheme="minorHAnsi" w:cstheme="minorHAnsi"/>
          <w:color w:val="000000"/>
          <w:sz w:val="22"/>
        </w:rPr>
        <w:t xml:space="preserve"> (WTO, 2015)</w:t>
      </w:r>
      <w:r w:rsidRPr="00B667C4">
        <w:rPr>
          <w:rFonts w:asciiTheme="minorHAnsi" w:hAnsiTheme="minorHAnsi" w:cstheme="minorHAnsi"/>
          <w:color w:val="000000"/>
          <w:sz w:val="22"/>
        </w:rPr>
        <w:t xml:space="preserve">, illustrating the very limited extent to which African countries participate in </w:t>
      </w:r>
      <w:r w:rsidR="005B3CD4" w:rsidRPr="00B667C4">
        <w:rPr>
          <w:rFonts w:asciiTheme="minorHAnsi" w:hAnsiTheme="minorHAnsi" w:cstheme="minorHAnsi"/>
          <w:color w:val="000000"/>
          <w:sz w:val="22"/>
        </w:rPr>
        <w:t>cross-border</w:t>
      </w:r>
      <w:r w:rsidRPr="00B667C4">
        <w:rPr>
          <w:rFonts w:asciiTheme="minorHAnsi" w:hAnsiTheme="minorHAnsi" w:cstheme="minorHAnsi"/>
          <w:color w:val="000000"/>
          <w:sz w:val="22"/>
        </w:rPr>
        <w:t xml:space="preserve"> value chains.</w:t>
      </w:r>
      <w:r w:rsidR="00130572" w:rsidRPr="00B667C4">
        <w:rPr>
          <w:rFonts w:asciiTheme="minorHAnsi" w:hAnsiTheme="minorHAnsi" w:cstheme="minorHAnsi"/>
          <w:sz w:val="22"/>
        </w:rPr>
        <w:t xml:space="preserve"> </w:t>
      </w:r>
      <w:r w:rsidR="00696813" w:rsidRPr="00B667C4">
        <w:rPr>
          <w:rFonts w:asciiTheme="minorHAnsi" w:hAnsiTheme="minorHAnsi" w:cstheme="minorHAnsi"/>
          <w:sz w:val="22"/>
        </w:rPr>
        <w:t>A</w:t>
      </w:r>
      <w:r w:rsidR="005B3CD4" w:rsidRPr="00B667C4">
        <w:rPr>
          <w:rFonts w:asciiTheme="minorHAnsi" w:hAnsiTheme="minorHAnsi" w:cstheme="minorHAnsi"/>
          <w:sz w:val="22"/>
        </w:rPr>
        <w:t xml:space="preserve"> necessary condition for </w:t>
      </w:r>
      <w:r w:rsidR="00C205DC" w:rsidRPr="00B667C4">
        <w:rPr>
          <w:rFonts w:asciiTheme="minorHAnsi" w:hAnsiTheme="minorHAnsi" w:cstheme="minorHAnsi"/>
          <w:sz w:val="22"/>
        </w:rPr>
        <w:t>sustaining and increasing</w:t>
      </w:r>
      <w:r w:rsidR="00696813" w:rsidRPr="00B667C4">
        <w:rPr>
          <w:rFonts w:asciiTheme="minorHAnsi" w:hAnsiTheme="minorHAnsi" w:cstheme="minorHAnsi"/>
          <w:sz w:val="22"/>
        </w:rPr>
        <w:t xml:space="preserve"> </w:t>
      </w:r>
      <w:r w:rsidR="0021710D" w:rsidRPr="00B667C4">
        <w:rPr>
          <w:rFonts w:asciiTheme="minorHAnsi" w:hAnsiTheme="minorHAnsi" w:cstheme="minorHAnsi"/>
          <w:sz w:val="22"/>
        </w:rPr>
        <w:t xml:space="preserve">such </w:t>
      </w:r>
      <w:r w:rsidR="005B3CD4" w:rsidRPr="00B667C4">
        <w:rPr>
          <w:rFonts w:asciiTheme="minorHAnsi" w:hAnsiTheme="minorHAnsi" w:cstheme="minorHAnsi"/>
          <w:sz w:val="22"/>
        </w:rPr>
        <w:t xml:space="preserve">participation is low </w:t>
      </w:r>
      <w:r w:rsidR="00696813" w:rsidRPr="00B667C4">
        <w:rPr>
          <w:rFonts w:asciiTheme="minorHAnsi" w:hAnsiTheme="minorHAnsi" w:cstheme="minorHAnsi"/>
          <w:sz w:val="22"/>
        </w:rPr>
        <w:t>trade costs</w:t>
      </w:r>
      <w:r w:rsidR="0021710D" w:rsidRPr="00B667C4">
        <w:rPr>
          <w:rFonts w:asciiTheme="minorHAnsi" w:hAnsiTheme="minorHAnsi" w:cstheme="minorHAnsi"/>
          <w:sz w:val="22"/>
        </w:rPr>
        <w:t xml:space="preserve">. </w:t>
      </w:r>
      <w:r w:rsidR="00696813" w:rsidRPr="00B667C4">
        <w:rPr>
          <w:rFonts w:asciiTheme="minorHAnsi" w:hAnsiTheme="minorHAnsi" w:cstheme="minorHAnsi"/>
          <w:sz w:val="22"/>
        </w:rPr>
        <w:t>From an economic perspective</w:t>
      </w:r>
      <w:r w:rsidR="00FD3224" w:rsidRPr="00B667C4">
        <w:rPr>
          <w:rFonts w:asciiTheme="minorHAnsi" w:hAnsiTheme="minorHAnsi" w:cstheme="minorHAnsi"/>
          <w:sz w:val="22"/>
        </w:rPr>
        <w:t>,</w:t>
      </w:r>
      <w:r w:rsidR="00696813" w:rsidRPr="00B667C4">
        <w:rPr>
          <w:rFonts w:asciiTheme="minorHAnsi" w:hAnsiTheme="minorHAnsi" w:cstheme="minorHAnsi"/>
          <w:sz w:val="22"/>
        </w:rPr>
        <w:t xml:space="preserve"> trade facilitation </w:t>
      </w:r>
      <w:r w:rsidR="009D2B10" w:rsidRPr="00B667C4">
        <w:rPr>
          <w:rFonts w:asciiTheme="minorHAnsi" w:hAnsiTheme="minorHAnsi" w:cstheme="minorHAnsi"/>
          <w:sz w:val="22"/>
        </w:rPr>
        <w:t xml:space="preserve">can be </w:t>
      </w:r>
      <w:r w:rsidR="00696813" w:rsidRPr="00B667C4">
        <w:rPr>
          <w:rFonts w:asciiTheme="minorHAnsi" w:hAnsiTheme="minorHAnsi" w:cstheme="minorHAnsi"/>
          <w:sz w:val="22"/>
        </w:rPr>
        <w:t xml:space="preserve">defined as actions to reduce the difference between domestic farm or factory gate prices and the price obtained in a foreign market (i.e., the difference between the export and import price). </w:t>
      </w:r>
      <w:r w:rsidR="005B3CD4" w:rsidRPr="00B667C4">
        <w:rPr>
          <w:rFonts w:asciiTheme="minorHAnsi" w:hAnsiTheme="minorHAnsi" w:cstheme="minorHAnsi"/>
          <w:sz w:val="22"/>
        </w:rPr>
        <w:t>L</w:t>
      </w:r>
      <w:r w:rsidR="00696813" w:rsidRPr="00B667C4">
        <w:rPr>
          <w:rFonts w:asciiTheme="minorHAnsi" w:hAnsiTheme="minorHAnsi" w:cstheme="minorHAnsi"/>
          <w:sz w:val="22"/>
        </w:rPr>
        <w:t>ower trade costs can give a significant boost to bilateral trade, support diversification along the extensive margin of trade</w:t>
      </w:r>
      <w:r w:rsidR="00134C4C" w:rsidRPr="00B667C4">
        <w:rPr>
          <w:rFonts w:asciiTheme="minorHAnsi" w:hAnsiTheme="minorHAnsi" w:cstheme="minorHAnsi"/>
          <w:sz w:val="22"/>
        </w:rPr>
        <w:t xml:space="preserve"> (e.g., Beverelli et al. 2015)</w:t>
      </w:r>
      <w:r w:rsidR="00696813" w:rsidRPr="00B667C4">
        <w:rPr>
          <w:rFonts w:asciiTheme="minorHAnsi" w:hAnsiTheme="minorHAnsi" w:cstheme="minorHAnsi"/>
          <w:sz w:val="22"/>
        </w:rPr>
        <w:t>, and increase aggregate welfare. There will be losers</w:t>
      </w:r>
      <w:r w:rsidR="009D2B10" w:rsidRPr="00B667C4">
        <w:rPr>
          <w:rFonts w:asciiTheme="minorHAnsi" w:hAnsiTheme="minorHAnsi" w:cstheme="minorHAnsi"/>
          <w:sz w:val="22"/>
        </w:rPr>
        <w:t xml:space="preserve">, including </w:t>
      </w:r>
      <w:r w:rsidR="00696813" w:rsidRPr="00B667C4">
        <w:rPr>
          <w:rFonts w:asciiTheme="minorHAnsi" w:hAnsiTheme="minorHAnsi" w:cstheme="minorHAnsi"/>
          <w:sz w:val="22"/>
        </w:rPr>
        <w:t>import-competing industries and agents who benefit from complexity and burdensome procedures (e.g., customs brokers) will lose rents</w:t>
      </w:r>
      <w:r w:rsidR="009D2B10" w:rsidRPr="00B667C4">
        <w:rPr>
          <w:rFonts w:asciiTheme="minorHAnsi" w:hAnsiTheme="minorHAnsi" w:cstheme="minorHAnsi"/>
          <w:sz w:val="22"/>
        </w:rPr>
        <w:t xml:space="preserve">, </w:t>
      </w:r>
      <w:r w:rsidR="00696813" w:rsidRPr="00B667C4">
        <w:rPr>
          <w:rFonts w:asciiTheme="minorHAnsi" w:hAnsiTheme="minorHAnsi" w:cstheme="minorHAnsi"/>
          <w:sz w:val="22"/>
        </w:rPr>
        <w:t>but overall both importers and exporters should benefit</w:t>
      </w:r>
      <w:r w:rsidR="0021710D" w:rsidRPr="00B667C4">
        <w:rPr>
          <w:rFonts w:asciiTheme="minorHAnsi" w:hAnsiTheme="minorHAnsi" w:cstheme="minorHAnsi"/>
          <w:color w:val="000000" w:themeColor="text1"/>
          <w:sz w:val="22"/>
        </w:rPr>
        <w:t>.</w:t>
      </w:r>
      <w:r w:rsidR="00696813" w:rsidRPr="00B667C4">
        <w:rPr>
          <w:rFonts w:asciiTheme="minorHAnsi" w:hAnsiTheme="minorHAnsi" w:cstheme="minorHAnsi"/>
          <w:sz w:val="22"/>
        </w:rPr>
        <w:t xml:space="preserve"> One important source of benefits is a reduction in uncertainty for traders regarding market entry conditions. This is particularly important for small firms, who find it more difficult to overcome the fixed costs of dealing with administrative requirements at the border, the unpredictable variable costs generated by delays, and the differences in regulations across markets</w:t>
      </w:r>
      <w:r w:rsidR="005B3CD4" w:rsidRPr="00B667C4">
        <w:rPr>
          <w:rFonts w:asciiTheme="minorHAnsi" w:hAnsiTheme="minorHAnsi" w:cstheme="minorHAnsi"/>
          <w:sz w:val="22"/>
        </w:rPr>
        <w:t xml:space="preserve"> (</w:t>
      </w:r>
      <w:r w:rsidR="00DE391F">
        <w:rPr>
          <w:rFonts w:asciiTheme="minorHAnsi" w:hAnsiTheme="minorHAnsi" w:cstheme="minorHAnsi"/>
          <w:sz w:val="22"/>
        </w:rPr>
        <w:t xml:space="preserve">Christ and Ferrantino, 2011; </w:t>
      </w:r>
      <w:r w:rsidR="005B3CD4" w:rsidRPr="00B667C4">
        <w:rPr>
          <w:rFonts w:asciiTheme="minorHAnsi" w:hAnsiTheme="minorHAnsi" w:cstheme="minorHAnsi"/>
          <w:color w:val="000000" w:themeColor="text1"/>
          <w:sz w:val="22"/>
        </w:rPr>
        <w:t>Hillberry and Zhang, 2015)</w:t>
      </w:r>
      <w:r w:rsidR="00696813" w:rsidRPr="00B667C4">
        <w:rPr>
          <w:rFonts w:asciiTheme="minorHAnsi" w:hAnsiTheme="minorHAnsi" w:cstheme="minorHAnsi"/>
          <w:sz w:val="22"/>
        </w:rPr>
        <w:t>.</w:t>
      </w:r>
      <w:r w:rsidR="005B3CD4" w:rsidRPr="00B667C4">
        <w:rPr>
          <w:rFonts w:asciiTheme="minorHAnsi" w:hAnsiTheme="minorHAnsi" w:cstheme="minorHAnsi"/>
          <w:sz w:val="22"/>
        </w:rPr>
        <w:t xml:space="preserve"> One reason </w:t>
      </w:r>
      <w:r w:rsidR="009A04BE" w:rsidRPr="00B667C4">
        <w:rPr>
          <w:rFonts w:asciiTheme="minorHAnsi" w:hAnsiTheme="minorHAnsi" w:cstheme="minorHAnsi"/>
          <w:color w:val="000000" w:themeColor="text1"/>
          <w:sz w:val="22"/>
        </w:rPr>
        <w:t xml:space="preserve">large companies </w:t>
      </w:r>
      <w:r w:rsidR="005B3CD4" w:rsidRPr="00B667C4">
        <w:rPr>
          <w:rFonts w:asciiTheme="minorHAnsi" w:hAnsiTheme="minorHAnsi" w:cstheme="minorHAnsi"/>
          <w:color w:val="000000" w:themeColor="text1"/>
          <w:sz w:val="22"/>
        </w:rPr>
        <w:t>a</w:t>
      </w:r>
      <w:r w:rsidR="009A04BE" w:rsidRPr="00B667C4">
        <w:rPr>
          <w:rFonts w:asciiTheme="minorHAnsi" w:hAnsiTheme="minorHAnsi" w:cstheme="minorHAnsi"/>
          <w:color w:val="000000" w:themeColor="text1"/>
          <w:sz w:val="22"/>
        </w:rPr>
        <w:t xml:space="preserve">ccount for the lion’s share of </w:t>
      </w:r>
      <w:r w:rsidR="00130572" w:rsidRPr="00B667C4">
        <w:rPr>
          <w:rFonts w:asciiTheme="minorHAnsi" w:hAnsiTheme="minorHAnsi" w:cstheme="minorHAnsi"/>
          <w:color w:val="000000" w:themeColor="text1"/>
          <w:sz w:val="22"/>
        </w:rPr>
        <w:t xml:space="preserve">the total </w:t>
      </w:r>
      <w:r w:rsidR="009A04BE" w:rsidRPr="00B667C4">
        <w:rPr>
          <w:rFonts w:asciiTheme="minorHAnsi" w:hAnsiTheme="minorHAnsi" w:cstheme="minorHAnsi"/>
          <w:color w:val="000000" w:themeColor="text1"/>
          <w:sz w:val="22"/>
        </w:rPr>
        <w:t>exports of any country</w:t>
      </w:r>
      <w:r w:rsidR="005B3CD4" w:rsidRPr="00B667C4">
        <w:rPr>
          <w:rFonts w:asciiTheme="minorHAnsi" w:hAnsiTheme="minorHAnsi" w:cstheme="minorHAnsi"/>
          <w:color w:val="000000" w:themeColor="text1"/>
          <w:sz w:val="22"/>
        </w:rPr>
        <w:t xml:space="preserve"> </w:t>
      </w:r>
      <w:r w:rsidR="009A04BE" w:rsidRPr="00B667C4">
        <w:rPr>
          <w:rFonts w:asciiTheme="minorHAnsi" w:hAnsiTheme="minorHAnsi" w:cstheme="minorHAnsi"/>
          <w:color w:val="000000" w:themeColor="text1"/>
          <w:sz w:val="22"/>
        </w:rPr>
        <w:t>is economies of scale. S</w:t>
      </w:r>
      <w:r w:rsidR="00130572" w:rsidRPr="00B667C4">
        <w:rPr>
          <w:rFonts w:asciiTheme="minorHAnsi" w:hAnsiTheme="minorHAnsi" w:cstheme="minorHAnsi"/>
          <w:color w:val="000000" w:themeColor="text1"/>
          <w:sz w:val="22"/>
        </w:rPr>
        <w:t xml:space="preserve">maller firms </w:t>
      </w:r>
      <w:r w:rsidR="009A04BE" w:rsidRPr="00B667C4">
        <w:rPr>
          <w:rFonts w:asciiTheme="minorHAnsi" w:hAnsiTheme="minorHAnsi" w:cstheme="minorHAnsi"/>
          <w:color w:val="000000" w:themeColor="text1"/>
          <w:sz w:val="22"/>
        </w:rPr>
        <w:t>produce and trade lower volumes, implying higher unit trade costs, given that many trade costs have a significant fixed component. Th</w:t>
      </w:r>
      <w:r w:rsidR="005B3CD4" w:rsidRPr="00B667C4">
        <w:rPr>
          <w:rFonts w:asciiTheme="minorHAnsi" w:hAnsiTheme="minorHAnsi" w:cstheme="minorHAnsi"/>
          <w:color w:val="000000" w:themeColor="text1"/>
          <w:sz w:val="22"/>
        </w:rPr>
        <w:t xml:space="preserve">us, </w:t>
      </w:r>
      <w:r w:rsidR="009A04BE" w:rsidRPr="00B667C4">
        <w:rPr>
          <w:rFonts w:asciiTheme="minorHAnsi" w:hAnsiTheme="minorHAnsi" w:cstheme="minorHAnsi"/>
          <w:color w:val="000000" w:themeColor="text1"/>
          <w:sz w:val="22"/>
        </w:rPr>
        <w:t xml:space="preserve">trade facilitation is </w:t>
      </w:r>
      <w:r w:rsidR="005B3CD4" w:rsidRPr="00B667C4">
        <w:rPr>
          <w:rFonts w:asciiTheme="minorHAnsi" w:hAnsiTheme="minorHAnsi" w:cstheme="minorHAnsi"/>
          <w:color w:val="000000" w:themeColor="text1"/>
          <w:sz w:val="22"/>
        </w:rPr>
        <w:t xml:space="preserve">particularly </w:t>
      </w:r>
      <w:r w:rsidR="009A04BE" w:rsidRPr="00B667C4">
        <w:rPr>
          <w:rFonts w:asciiTheme="minorHAnsi" w:hAnsiTheme="minorHAnsi" w:cstheme="minorHAnsi"/>
          <w:color w:val="000000" w:themeColor="text1"/>
          <w:sz w:val="22"/>
        </w:rPr>
        <w:t xml:space="preserve">important for SMEs. </w:t>
      </w:r>
    </w:p>
    <w:p w14:paraId="6C45E459" w14:textId="590322B2" w:rsidR="009A04BE" w:rsidRPr="00B667C4" w:rsidRDefault="005B3CD4" w:rsidP="00250729">
      <w:pPr>
        <w:spacing w:after="120" w:line="276" w:lineRule="auto"/>
        <w:rPr>
          <w:rFonts w:asciiTheme="minorHAnsi" w:hAnsiTheme="minorHAnsi" w:cstheme="minorHAnsi"/>
          <w:color w:val="000000" w:themeColor="text1"/>
          <w:sz w:val="22"/>
        </w:rPr>
      </w:pPr>
      <w:r w:rsidRPr="00B667C4">
        <w:rPr>
          <w:rFonts w:asciiTheme="minorHAnsi" w:hAnsiTheme="minorHAnsi" w:cstheme="minorHAnsi"/>
          <w:sz w:val="22"/>
        </w:rPr>
        <w:t xml:space="preserve">The trade facilitation agenda goes beyond administrative practices and border clearance procedures. The quality of domestic transport and communications infrastructure, </w:t>
      </w:r>
      <w:r w:rsidR="00C62BAB" w:rsidRPr="00B667C4">
        <w:rPr>
          <w:rFonts w:asciiTheme="minorHAnsi" w:hAnsiTheme="minorHAnsi" w:cstheme="minorHAnsi"/>
          <w:sz w:val="22"/>
        </w:rPr>
        <w:t xml:space="preserve">the quality and cost of logistics services </w:t>
      </w:r>
      <w:r w:rsidRPr="00B667C4">
        <w:rPr>
          <w:rFonts w:asciiTheme="minorHAnsi" w:hAnsiTheme="minorHAnsi" w:cstheme="minorHAnsi"/>
          <w:sz w:val="22"/>
        </w:rPr>
        <w:t xml:space="preserve">etc. also matter. </w:t>
      </w:r>
      <w:r w:rsidR="00C62BAB" w:rsidRPr="00B667C4">
        <w:rPr>
          <w:rFonts w:asciiTheme="minorHAnsi" w:hAnsiTheme="minorHAnsi" w:cstheme="minorHAnsi"/>
          <w:sz w:val="22"/>
        </w:rPr>
        <w:t>Indicators of the logistics performance of countries is an explanatory factor for the share of output that is exported by firms, with this being relatively more important for small firms</w:t>
      </w:r>
      <w:r w:rsidR="00250729" w:rsidRPr="00B667C4">
        <w:rPr>
          <w:rFonts w:asciiTheme="minorHAnsi" w:hAnsiTheme="minorHAnsi" w:cstheme="minorHAnsi"/>
          <w:sz w:val="22"/>
        </w:rPr>
        <w:t xml:space="preserve"> as they have smaller volumes of exports and thus cannot spread the fixed costs of logistics services over large consignments that reduce the unit costs of trade as large firms can</w:t>
      </w:r>
      <w:r w:rsidR="00C62BAB" w:rsidRPr="00B667C4">
        <w:rPr>
          <w:rFonts w:asciiTheme="minorHAnsi" w:hAnsiTheme="minorHAnsi" w:cstheme="minorHAnsi"/>
          <w:sz w:val="22"/>
        </w:rPr>
        <w:t xml:space="preserve">. Saslavsky and Shepherd (2014) use the </w:t>
      </w:r>
      <w:r w:rsidR="00C62BAB" w:rsidRPr="00B667C4">
        <w:rPr>
          <w:rFonts w:asciiTheme="minorHAnsi" w:hAnsiTheme="minorHAnsi" w:cstheme="minorHAnsi"/>
          <w:color w:val="000000" w:themeColor="text1"/>
          <w:sz w:val="22"/>
        </w:rPr>
        <w:t xml:space="preserve">World Bank Logistics Performance Indicators (LPI) </w:t>
      </w:r>
      <w:r w:rsidR="00DE391F">
        <w:rPr>
          <w:rFonts w:asciiTheme="minorHAnsi" w:hAnsiTheme="minorHAnsi" w:cstheme="minorHAnsi"/>
          <w:color w:val="000000" w:themeColor="text1"/>
          <w:sz w:val="22"/>
        </w:rPr>
        <w:t xml:space="preserve">(World Bank, 2014) </w:t>
      </w:r>
      <w:r w:rsidR="00C62BAB" w:rsidRPr="00B667C4">
        <w:rPr>
          <w:rFonts w:asciiTheme="minorHAnsi" w:hAnsiTheme="minorHAnsi" w:cstheme="minorHAnsi"/>
          <w:color w:val="000000" w:themeColor="text1"/>
          <w:sz w:val="22"/>
        </w:rPr>
        <w:t xml:space="preserve">to </w:t>
      </w:r>
      <w:r w:rsidR="00C62BAB" w:rsidRPr="00B667C4">
        <w:rPr>
          <w:rFonts w:asciiTheme="minorHAnsi" w:hAnsiTheme="minorHAnsi" w:cstheme="minorHAnsi"/>
          <w:sz w:val="22"/>
        </w:rPr>
        <w:t xml:space="preserve">show </w:t>
      </w:r>
      <w:r w:rsidR="00C62BAB" w:rsidRPr="00B667C4">
        <w:rPr>
          <w:rFonts w:asciiTheme="minorHAnsi" w:hAnsiTheme="minorHAnsi" w:cstheme="minorHAnsi"/>
          <w:color w:val="222222"/>
          <w:sz w:val="22"/>
          <w:shd w:val="clear" w:color="auto" w:fill="FFFFFF"/>
        </w:rPr>
        <w:t xml:space="preserve">there is a strong positive </w:t>
      </w:r>
      <w:r w:rsidR="00C62BAB" w:rsidRPr="00B667C4">
        <w:rPr>
          <w:rFonts w:asciiTheme="minorHAnsi" w:hAnsiTheme="minorHAnsi" w:cstheme="minorHAnsi"/>
          <w:sz w:val="22"/>
        </w:rPr>
        <w:t>association between</w:t>
      </w:r>
      <w:r w:rsidR="00D8578A" w:rsidRPr="00B667C4">
        <w:rPr>
          <w:rFonts w:asciiTheme="minorHAnsi" w:hAnsiTheme="minorHAnsi" w:cstheme="minorHAnsi"/>
          <w:sz w:val="22"/>
        </w:rPr>
        <w:t xml:space="preserve"> better </w:t>
      </w:r>
      <w:r w:rsidR="00C62BAB" w:rsidRPr="00B667C4">
        <w:rPr>
          <w:rFonts w:asciiTheme="minorHAnsi" w:hAnsiTheme="minorHAnsi" w:cstheme="minorHAnsi"/>
          <w:sz w:val="22"/>
        </w:rPr>
        <w:t>logistics</w:t>
      </w:r>
      <w:r w:rsidR="00D8578A" w:rsidRPr="00B667C4">
        <w:rPr>
          <w:rFonts w:asciiTheme="minorHAnsi" w:hAnsiTheme="minorHAnsi" w:cstheme="minorHAnsi"/>
          <w:sz w:val="22"/>
        </w:rPr>
        <w:t xml:space="preserve"> </w:t>
      </w:r>
      <w:r w:rsidR="00C62BAB" w:rsidRPr="00B667C4">
        <w:rPr>
          <w:rFonts w:asciiTheme="minorHAnsi" w:hAnsiTheme="minorHAnsi" w:cstheme="minorHAnsi"/>
          <w:sz w:val="22"/>
        </w:rPr>
        <w:t>performance and the share of parts and components in total exports of a country</w:t>
      </w:r>
      <w:r w:rsidR="009A04BE" w:rsidRPr="00B667C4">
        <w:rPr>
          <w:rFonts w:asciiTheme="minorHAnsi" w:hAnsiTheme="minorHAnsi" w:cstheme="minorHAnsi"/>
          <w:sz w:val="22"/>
        </w:rPr>
        <w:t xml:space="preserve">. </w:t>
      </w:r>
    </w:p>
    <w:p w14:paraId="295E670B" w14:textId="77777777" w:rsidR="00CD04F1" w:rsidRPr="00B667C4" w:rsidRDefault="00CD04F1" w:rsidP="00CD04F1">
      <w:pPr>
        <w:pStyle w:val="BodyText"/>
        <w:numPr>
          <w:ilvl w:val="0"/>
          <w:numId w:val="0"/>
        </w:numPr>
        <w:spacing w:after="120" w:line="276" w:lineRule="auto"/>
        <w:rPr>
          <w:rFonts w:asciiTheme="minorHAnsi" w:hAnsiTheme="minorHAnsi" w:cstheme="minorHAnsi"/>
          <w:sz w:val="22"/>
        </w:rPr>
      </w:pPr>
      <w:r w:rsidRPr="00B667C4">
        <w:rPr>
          <w:rFonts w:asciiTheme="minorHAnsi" w:hAnsiTheme="minorHAnsi" w:cstheme="minorHAnsi"/>
          <w:sz w:val="22"/>
        </w:rPr>
        <w:t>Economic analysis of trade facilitation has tended to focus on the impacts of trade costs on productivity and bilateral trade flows at a disaggregated product level and assessing how specific policies impact on costs.</w:t>
      </w:r>
      <w:r w:rsidRPr="00B667C4">
        <w:rPr>
          <w:rFonts w:asciiTheme="minorHAnsi" w:hAnsiTheme="minorHAnsi" w:cstheme="minorHAnsi"/>
          <w:sz w:val="22"/>
          <w:vertAlign w:val="superscript"/>
        </w:rPr>
        <w:footnoteReference w:id="4"/>
      </w:r>
      <w:r w:rsidRPr="00B667C4">
        <w:rPr>
          <w:rFonts w:asciiTheme="minorHAnsi" w:hAnsiTheme="minorHAnsi" w:cstheme="minorHAnsi"/>
          <w:sz w:val="22"/>
          <w:vertAlign w:val="superscript"/>
        </w:rPr>
        <w:t xml:space="preserve"> </w:t>
      </w:r>
      <w:r w:rsidRPr="00B667C4">
        <w:rPr>
          <w:rFonts w:asciiTheme="minorHAnsi" w:hAnsiTheme="minorHAnsi" w:cstheme="minorHAnsi"/>
          <w:sz w:val="22"/>
        </w:rPr>
        <w:t xml:space="preserve">The empirical literature has relied heavily on the World Bank’s </w:t>
      </w:r>
      <w:r w:rsidRPr="00B667C4">
        <w:rPr>
          <w:rFonts w:asciiTheme="minorHAnsi" w:hAnsiTheme="minorHAnsi" w:cstheme="minorHAnsi"/>
          <w:i/>
          <w:sz w:val="22"/>
        </w:rPr>
        <w:t xml:space="preserve">Doing Business </w:t>
      </w:r>
      <w:r w:rsidRPr="00B667C4">
        <w:rPr>
          <w:rFonts w:asciiTheme="minorHAnsi" w:hAnsiTheme="minorHAnsi" w:cstheme="minorHAnsi"/>
          <w:sz w:val="22"/>
        </w:rPr>
        <w:t xml:space="preserve">database for indicators of trade costs (the “trading across borders” indicators). A representative example is Djankov, Freund and Pham (2010), who use export time as reported in the database as an indicator of national trade facilitation performance. This measure includes the time needed for document preparation, internal transport, passage through customs and other border agencies, and port and terminal handling. They find that the time to export measure is a statistically significant determinant of bilateral trade flows, with each day’s delay associated with a reduction in bilateral trade of at least one percent. In the case of Africa, Freund and Rocha (2011) estimate it is 1.5 percent. </w:t>
      </w:r>
      <w:r w:rsidRPr="00B667C4">
        <w:rPr>
          <w:rFonts w:asciiTheme="minorHAnsi" w:hAnsiTheme="minorHAnsi" w:cstheme="minorHAnsi"/>
          <w:color w:val="000000" w:themeColor="text1"/>
          <w:sz w:val="22"/>
        </w:rPr>
        <w:t>Beverelli, Neumueller and Teh (2015) conclude that trade facilitation will have significant positive impacts on diversification along the extensive margin for African countries. They estimate that full implementation of the WTO’s Trade Facilitation Agreement (TFA) could support an increase of some 16 percent in the number of products exported by sub-Saharan African countries and an increase of up to 14 percent in the number of export destinations by product.</w:t>
      </w:r>
      <w:r w:rsidRPr="00B667C4">
        <w:rPr>
          <w:rFonts w:asciiTheme="minorHAnsi" w:hAnsiTheme="minorHAnsi" w:cstheme="minorHAnsi"/>
          <w:sz w:val="22"/>
        </w:rPr>
        <w:t xml:space="preserve"> </w:t>
      </w:r>
    </w:p>
    <w:p w14:paraId="6CF4000F" w14:textId="5E5DCC91" w:rsidR="004B25EF" w:rsidRPr="00B667C4" w:rsidRDefault="00820B67" w:rsidP="00FA4BD6">
      <w:pPr>
        <w:pStyle w:val="BodyText"/>
        <w:numPr>
          <w:ilvl w:val="0"/>
          <w:numId w:val="0"/>
        </w:numPr>
        <w:spacing w:after="120" w:line="276" w:lineRule="auto"/>
        <w:rPr>
          <w:rFonts w:asciiTheme="minorHAnsi" w:hAnsiTheme="minorHAnsi" w:cstheme="minorHAnsi"/>
          <w:sz w:val="22"/>
        </w:rPr>
      </w:pPr>
      <w:r w:rsidRPr="00B667C4">
        <w:rPr>
          <w:rFonts w:asciiTheme="minorHAnsi" w:hAnsiTheme="minorHAnsi" w:cstheme="minorHAnsi"/>
          <w:sz w:val="22"/>
        </w:rPr>
        <w:t>T</w:t>
      </w:r>
      <w:r w:rsidR="002764D2" w:rsidRPr="00B667C4">
        <w:rPr>
          <w:rFonts w:asciiTheme="minorHAnsi" w:hAnsiTheme="minorHAnsi" w:cstheme="minorHAnsi"/>
          <w:sz w:val="22"/>
        </w:rPr>
        <w:t xml:space="preserve">he TFA deals with a </w:t>
      </w:r>
      <w:r w:rsidR="00FA4BD6" w:rsidRPr="00B667C4">
        <w:rPr>
          <w:rFonts w:asciiTheme="minorHAnsi" w:hAnsiTheme="minorHAnsi" w:cstheme="minorHAnsi"/>
          <w:sz w:val="22"/>
        </w:rPr>
        <w:t>specific set</w:t>
      </w:r>
      <w:r w:rsidR="002764D2" w:rsidRPr="00B667C4">
        <w:rPr>
          <w:rFonts w:asciiTheme="minorHAnsi" w:hAnsiTheme="minorHAnsi" w:cstheme="minorHAnsi"/>
          <w:sz w:val="22"/>
        </w:rPr>
        <w:t xml:space="preserve"> of policies </w:t>
      </w:r>
      <w:r w:rsidR="00FA4BD6" w:rsidRPr="00B667C4">
        <w:rPr>
          <w:rFonts w:asciiTheme="minorHAnsi" w:hAnsiTheme="minorHAnsi" w:cstheme="minorHAnsi"/>
          <w:sz w:val="22"/>
        </w:rPr>
        <w:t xml:space="preserve">that revolve around </w:t>
      </w:r>
      <w:r w:rsidR="002764D2" w:rsidRPr="00B667C4">
        <w:rPr>
          <w:rFonts w:asciiTheme="minorHAnsi" w:hAnsiTheme="minorHAnsi" w:cstheme="minorHAnsi"/>
          <w:sz w:val="22"/>
        </w:rPr>
        <w:t xml:space="preserve">border clearance processes and transit regimes. </w:t>
      </w:r>
      <w:r w:rsidR="004B25EF" w:rsidRPr="00B667C4">
        <w:rPr>
          <w:rFonts w:asciiTheme="minorHAnsi" w:hAnsiTheme="minorHAnsi" w:cstheme="minorHAnsi"/>
          <w:sz w:val="22"/>
        </w:rPr>
        <w:t>One of the positive spillover effects of the negotiations that culminated in the TFA was a concerted effort to develop a set of indicators that characterize different dimensions of the customs and border clearance process and that can be used to assess the potential effects of implementing different elements of the agreement (</w:t>
      </w:r>
      <w:r w:rsidR="004401E7" w:rsidRPr="00B667C4">
        <w:rPr>
          <w:rFonts w:asciiTheme="minorHAnsi" w:hAnsiTheme="minorHAnsi" w:cstheme="minorHAnsi"/>
          <w:sz w:val="22"/>
        </w:rPr>
        <w:t>Moïsé</w:t>
      </w:r>
      <w:r w:rsidR="004B25EF" w:rsidRPr="00B667C4">
        <w:rPr>
          <w:rFonts w:asciiTheme="minorHAnsi" w:hAnsiTheme="minorHAnsi" w:cstheme="minorHAnsi"/>
          <w:sz w:val="22"/>
        </w:rPr>
        <w:t xml:space="preserve"> and Sorescu, 2013). </w:t>
      </w:r>
      <w:r w:rsidR="002764D2" w:rsidRPr="00B667C4">
        <w:rPr>
          <w:rFonts w:asciiTheme="minorHAnsi" w:hAnsiTheme="minorHAnsi" w:cstheme="minorHAnsi"/>
          <w:sz w:val="22"/>
        </w:rPr>
        <w:t xml:space="preserve">However, the trade facilitation agenda goes far beyond the subjects dealt with by the TFA. It does not deal with major dimensions of customs clearance such as the valuation of consignments for duty payment purposes, import licensing or product standards. This is because there were already rules for these areas in the WTO. It also neglects transport and logistics-related policies that affect the cost of distribution of goods. Nor does it pay attention to matters such as competition policy or restrictions on foreign investment in transport sectors – for which there are no rules in the WTO. </w:t>
      </w:r>
    </w:p>
    <w:p w14:paraId="43D0683A" w14:textId="215CEFA7" w:rsidR="00013EC9" w:rsidRPr="00B667C4" w:rsidRDefault="004B25EF" w:rsidP="003163C6">
      <w:pPr>
        <w:pStyle w:val="BodyText"/>
        <w:numPr>
          <w:ilvl w:val="0"/>
          <w:numId w:val="0"/>
        </w:numPr>
        <w:spacing w:after="120" w:line="276" w:lineRule="auto"/>
        <w:rPr>
          <w:rFonts w:asciiTheme="minorHAnsi" w:hAnsiTheme="minorHAnsi" w:cstheme="minorHAnsi"/>
          <w:sz w:val="22"/>
        </w:rPr>
      </w:pPr>
      <w:r w:rsidRPr="00B667C4">
        <w:rPr>
          <w:rFonts w:asciiTheme="minorHAnsi" w:hAnsiTheme="minorHAnsi" w:cstheme="minorHAnsi"/>
          <w:sz w:val="22"/>
        </w:rPr>
        <w:t>All these policy areas may have impacts on the level of trade costs</w:t>
      </w:r>
      <w:r w:rsidR="00AB3206" w:rsidRPr="00B667C4">
        <w:rPr>
          <w:rFonts w:asciiTheme="minorHAnsi" w:hAnsiTheme="minorHAnsi" w:cstheme="minorHAnsi"/>
          <w:sz w:val="22"/>
        </w:rPr>
        <w:t xml:space="preserve"> prevailing for a product/country/point in time</w:t>
      </w:r>
      <w:r w:rsidRPr="00B667C4">
        <w:rPr>
          <w:rFonts w:asciiTheme="minorHAnsi" w:hAnsiTheme="minorHAnsi" w:cstheme="minorHAnsi"/>
          <w:sz w:val="22"/>
        </w:rPr>
        <w:t xml:space="preserve">.  </w:t>
      </w:r>
      <w:r w:rsidR="002764D2" w:rsidRPr="00B667C4">
        <w:rPr>
          <w:rFonts w:asciiTheme="minorHAnsi" w:hAnsiTheme="minorHAnsi" w:cstheme="minorHAnsi"/>
          <w:sz w:val="22"/>
        </w:rPr>
        <w:t>A message that consistently comes from the research literature on trade costs is that a broad view of the trade facilitation agenda at the national, regional and multilateral levels is needed. From this perspective</w:t>
      </w:r>
      <w:r w:rsidR="00981AA1" w:rsidRPr="00B667C4">
        <w:rPr>
          <w:rFonts w:asciiTheme="minorHAnsi" w:hAnsiTheme="minorHAnsi" w:cstheme="minorHAnsi"/>
          <w:sz w:val="22"/>
        </w:rPr>
        <w:t>,</w:t>
      </w:r>
      <w:r w:rsidR="002764D2" w:rsidRPr="00B667C4">
        <w:rPr>
          <w:rFonts w:asciiTheme="minorHAnsi" w:hAnsiTheme="minorHAnsi" w:cstheme="minorHAnsi"/>
          <w:sz w:val="22"/>
        </w:rPr>
        <w:t xml:space="preserve"> a key question</w:t>
      </w:r>
      <w:r w:rsidR="00AB3206" w:rsidRPr="00B667C4">
        <w:rPr>
          <w:rFonts w:asciiTheme="minorHAnsi" w:hAnsiTheme="minorHAnsi" w:cstheme="minorHAnsi"/>
          <w:sz w:val="22"/>
        </w:rPr>
        <w:t xml:space="preserve"> for policy research is to </w:t>
      </w:r>
      <w:r w:rsidR="002764D2" w:rsidRPr="00B667C4">
        <w:rPr>
          <w:rFonts w:asciiTheme="minorHAnsi" w:hAnsiTheme="minorHAnsi" w:cstheme="minorHAnsi"/>
          <w:sz w:val="22"/>
        </w:rPr>
        <w:t xml:space="preserve">identify </w:t>
      </w:r>
      <w:r w:rsidR="00AB3206" w:rsidRPr="00B667C4">
        <w:rPr>
          <w:rFonts w:asciiTheme="minorHAnsi" w:hAnsiTheme="minorHAnsi" w:cstheme="minorHAnsi"/>
          <w:sz w:val="22"/>
        </w:rPr>
        <w:t xml:space="preserve">the various sources of trade costs and </w:t>
      </w:r>
      <w:r w:rsidR="002764D2" w:rsidRPr="00B667C4">
        <w:rPr>
          <w:rFonts w:asciiTheme="minorHAnsi" w:hAnsiTheme="minorHAnsi" w:cstheme="minorHAnsi"/>
          <w:sz w:val="22"/>
        </w:rPr>
        <w:t>what types of reforms and</w:t>
      </w:r>
      <w:r w:rsidR="00AB3206" w:rsidRPr="00B667C4">
        <w:rPr>
          <w:rFonts w:asciiTheme="minorHAnsi" w:hAnsiTheme="minorHAnsi" w:cstheme="minorHAnsi"/>
          <w:sz w:val="22"/>
        </w:rPr>
        <w:t>/or</w:t>
      </w:r>
      <w:r w:rsidR="002764D2" w:rsidRPr="00B667C4">
        <w:rPr>
          <w:rFonts w:asciiTheme="minorHAnsi" w:hAnsiTheme="minorHAnsi" w:cstheme="minorHAnsi"/>
          <w:sz w:val="22"/>
        </w:rPr>
        <w:t xml:space="preserve"> investments will have the greatest potential </w:t>
      </w:r>
      <w:r w:rsidR="00AB3206" w:rsidRPr="00B667C4">
        <w:rPr>
          <w:rFonts w:asciiTheme="minorHAnsi" w:hAnsiTheme="minorHAnsi" w:cstheme="minorHAnsi"/>
          <w:sz w:val="22"/>
        </w:rPr>
        <w:t>in lowering them</w:t>
      </w:r>
      <w:r w:rsidR="002764D2" w:rsidRPr="00B667C4">
        <w:rPr>
          <w:rFonts w:asciiTheme="minorHAnsi" w:hAnsiTheme="minorHAnsi" w:cstheme="minorHAnsi"/>
          <w:sz w:val="22"/>
        </w:rPr>
        <w:t xml:space="preserve">. </w:t>
      </w:r>
      <w:r w:rsidR="00AB3206" w:rsidRPr="00B667C4">
        <w:rPr>
          <w:rFonts w:asciiTheme="minorHAnsi" w:hAnsiTheme="minorHAnsi" w:cstheme="minorHAnsi"/>
          <w:sz w:val="22"/>
        </w:rPr>
        <w:t>I</w:t>
      </w:r>
      <w:r w:rsidR="002764D2" w:rsidRPr="00B667C4">
        <w:rPr>
          <w:rFonts w:asciiTheme="minorHAnsi" w:hAnsiTheme="minorHAnsi" w:cstheme="minorHAnsi"/>
          <w:sz w:val="22"/>
        </w:rPr>
        <w:t xml:space="preserve">nternational codes such as the TFA </w:t>
      </w:r>
      <w:r w:rsidR="00AB3206" w:rsidRPr="00B667C4">
        <w:rPr>
          <w:rFonts w:asciiTheme="minorHAnsi" w:hAnsiTheme="minorHAnsi" w:cstheme="minorHAnsi"/>
          <w:sz w:val="22"/>
        </w:rPr>
        <w:t xml:space="preserve">are important </w:t>
      </w:r>
      <w:r w:rsidR="002764D2" w:rsidRPr="00B667C4">
        <w:rPr>
          <w:rFonts w:asciiTheme="minorHAnsi" w:hAnsiTheme="minorHAnsi" w:cstheme="minorHAnsi"/>
          <w:sz w:val="22"/>
        </w:rPr>
        <w:t>focal points for both reform</w:t>
      </w:r>
      <w:r w:rsidR="00FA4BD6" w:rsidRPr="00B667C4">
        <w:rPr>
          <w:rFonts w:asciiTheme="minorHAnsi" w:hAnsiTheme="minorHAnsi" w:cstheme="minorHAnsi"/>
          <w:sz w:val="22"/>
        </w:rPr>
        <w:t xml:space="preserve"> effort</w:t>
      </w:r>
      <w:r w:rsidR="002764D2" w:rsidRPr="00B667C4">
        <w:rPr>
          <w:rFonts w:asciiTheme="minorHAnsi" w:hAnsiTheme="minorHAnsi" w:cstheme="minorHAnsi"/>
          <w:sz w:val="22"/>
        </w:rPr>
        <w:t>s and development assistance</w:t>
      </w:r>
      <w:r w:rsidR="00AB3206" w:rsidRPr="00B667C4">
        <w:rPr>
          <w:rFonts w:asciiTheme="minorHAnsi" w:hAnsiTheme="minorHAnsi" w:cstheme="minorHAnsi"/>
          <w:sz w:val="22"/>
        </w:rPr>
        <w:t xml:space="preserve">, but they </w:t>
      </w:r>
      <w:r w:rsidR="002764D2" w:rsidRPr="00B667C4">
        <w:rPr>
          <w:rFonts w:asciiTheme="minorHAnsi" w:hAnsiTheme="minorHAnsi" w:cstheme="minorHAnsi"/>
          <w:sz w:val="22"/>
        </w:rPr>
        <w:t xml:space="preserve">may not address the </w:t>
      </w:r>
      <w:r w:rsidR="00AB3206" w:rsidRPr="00B667C4">
        <w:rPr>
          <w:rFonts w:asciiTheme="minorHAnsi" w:hAnsiTheme="minorHAnsi" w:cstheme="minorHAnsi"/>
          <w:sz w:val="22"/>
        </w:rPr>
        <w:t xml:space="preserve">most binding constraints </w:t>
      </w:r>
      <w:r w:rsidR="002764D2" w:rsidRPr="00B667C4">
        <w:rPr>
          <w:rFonts w:asciiTheme="minorHAnsi" w:hAnsiTheme="minorHAnsi" w:cstheme="minorHAnsi"/>
          <w:sz w:val="22"/>
        </w:rPr>
        <w:t>that impede trade</w:t>
      </w:r>
      <w:r w:rsidR="00AB3206" w:rsidRPr="00B667C4">
        <w:rPr>
          <w:rFonts w:asciiTheme="minorHAnsi" w:hAnsiTheme="minorHAnsi" w:cstheme="minorHAnsi"/>
          <w:sz w:val="22"/>
        </w:rPr>
        <w:t xml:space="preserve"> for a given country, country-pair or region</w:t>
      </w:r>
      <w:r w:rsidR="008874E6" w:rsidRPr="00B667C4">
        <w:rPr>
          <w:rFonts w:asciiTheme="minorHAnsi" w:hAnsiTheme="minorHAnsi" w:cstheme="minorHAnsi"/>
          <w:sz w:val="22"/>
        </w:rPr>
        <w:t>. Th</w:t>
      </w:r>
      <w:r w:rsidR="00013EC9" w:rsidRPr="00B667C4">
        <w:rPr>
          <w:rFonts w:asciiTheme="minorHAnsi" w:hAnsiTheme="minorHAnsi" w:cstheme="minorHAnsi"/>
          <w:sz w:val="22"/>
        </w:rPr>
        <w:t xml:space="preserve">us, one </w:t>
      </w:r>
      <w:r w:rsidR="00AB3206" w:rsidRPr="00B667C4">
        <w:rPr>
          <w:rFonts w:asciiTheme="minorHAnsi" w:hAnsiTheme="minorHAnsi" w:cstheme="minorHAnsi"/>
          <w:sz w:val="22"/>
        </w:rPr>
        <w:t xml:space="preserve">challenge for governments is to avoid taking too </w:t>
      </w:r>
      <w:r w:rsidR="008874E6" w:rsidRPr="00B667C4">
        <w:rPr>
          <w:rFonts w:asciiTheme="minorHAnsi" w:hAnsiTheme="minorHAnsi" w:cstheme="minorHAnsi"/>
          <w:sz w:val="22"/>
        </w:rPr>
        <w:t>narrow a view of trade facilitation</w:t>
      </w:r>
      <w:r w:rsidR="00AB3206" w:rsidRPr="00B667C4">
        <w:rPr>
          <w:rFonts w:asciiTheme="minorHAnsi" w:hAnsiTheme="minorHAnsi" w:cstheme="minorHAnsi"/>
          <w:sz w:val="22"/>
        </w:rPr>
        <w:t>. A</w:t>
      </w:r>
      <w:r w:rsidR="00013EC9" w:rsidRPr="00B667C4">
        <w:rPr>
          <w:rFonts w:asciiTheme="minorHAnsi" w:hAnsiTheme="minorHAnsi" w:cstheme="minorHAnsi"/>
          <w:sz w:val="22"/>
        </w:rPr>
        <w:t xml:space="preserve">nother </w:t>
      </w:r>
      <w:r w:rsidR="00AB3206" w:rsidRPr="00B667C4">
        <w:rPr>
          <w:rFonts w:asciiTheme="minorHAnsi" w:hAnsiTheme="minorHAnsi" w:cstheme="minorHAnsi"/>
          <w:sz w:val="22"/>
        </w:rPr>
        <w:t>challenge is to recognize and design mechanisms that address the</w:t>
      </w:r>
      <w:r w:rsidR="00013EC9" w:rsidRPr="00B667C4">
        <w:rPr>
          <w:rFonts w:asciiTheme="minorHAnsi" w:hAnsiTheme="minorHAnsi" w:cstheme="minorHAnsi"/>
          <w:sz w:val="22"/>
        </w:rPr>
        <w:t xml:space="preserve"> pol</w:t>
      </w:r>
      <w:r w:rsidR="008874E6" w:rsidRPr="00B667C4">
        <w:rPr>
          <w:rFonts w:asciiTheme="minorHAnsi" w:hAnsiTheme="minorHAnsi" w:cstheme="minorHAnsi"/>
          <w:sz w:val="22"/>
        </w:rPr>
        <w:t>itical</w:t>
      </w:r>
      <w:r w:rsidR="00AB3206" w:rsidRPr="00B667C4">
        <w:rPr>
          <w:rFonts w:asciiTheme="minorHAnsi" w:hAnsiTheme="minorHAnsi" w:cstheme="minorHAnsi"/>
          <w:sz w:val="22"/>
        </w:rPr>
        <w:t xml:space="preserve"> </w:t>
      </w:r>
      <w:r w:rsidR="008874E6" w:rsidRPr="00B667C4">
        <w:rPr>
          <w:rFonts w:asciiTheme="minorHAnsi" w:hAnsiTheme="minorHAnsi" w:cstheme="minorHAnsi"/>
          <w:sz w:val="22"/>
        </w:rPr>
        <w:t xml:space="preserve">economy forces that </w:t>
      </w:r>
      <w:r w:rsidR="00AB3206" w:rsidRPr="00B667C4">
        <w:rPr>
          <w:rFonts w:asciiTheme="minorHAnsi" w:hAnsiTheme="minorHAnsi" w:cstheme="minorHAnsi"/>
          <w:sz w:val="22"/>
        </w:rPr>
        <w:t xml:space="preserve">have led to </w:t>
      </w:r>
      <w:r w:rsidR="008874E6" w:rsidRPr="00B667C4">
        <w:rPr>
          <w:rFonts w:asciiTheme="minorHAnsi" w:hAnsiTheme="minorHAnsi" w:cstheme="minorHAnsi"/>
          <w:sz w:val="22"/>
        </w:rPr>
        <w:t xml:space="preserve">bad trade facilitation outcomes. Is there value in embedding specific rules and disciplines in trade agreements </w:t>
      </w:r>
      <w:r w:rsidR="00102966" w:rsidRPr="00B667C4">
        <w:rPr>
          <w:rFonts w:asciiTheme="minorHAnsi" w:hAnsiTheme="minorHAnsi" w:cstheme="minorHAnsi"/>
          <w:sz w:val="22"/>
        </w:rPr>
        <w:t>to</w:t>
      </w:r>
      <w:r w:rsidR="008874E6" w:rsidRPr="00B667C4">
        <w:rPr>
          <w:rFonts w:asciiTheme="minorHAnsi" w:hAnsiTheme="minorHAnsi" w:cstheme="minorHAnsi"/>
          <w:sz w:val="22"/>
        </w:rPr>
        <w:t xml:space="preserve"> incentivize </w:t>
      </w:r>
      <w:r w:rsidR="00AB3206" w:rsidRPr="00B667C4">
        <w:rPr>
          <w:rFonts w:asciiTheme="minorHAnsi" w:hAnsiTheme="minorHAnsi" w:cstheme="minorHAnsi"/>
          <w:sz w:val="22"/>
        </w:rPr>
        <w:t xml:space="preserve">implementation of trade cost-reducing reforms? Reducing the costs of trade is what trade agreements are designed to do, but this is much easier to conceptualize and negotiate if the focus is on </w:t>
      </w:r>
      <w:r w:rsidR="00013EC9" w:rsidRPr="00B667C4">
        <w:rPr>
          <w:rFonts w:asciiTheme="minorHAnsi" w:hAnsiTheme="minorHAnsi" w:cstheme="minorHAnsi"/>
          <w:sz w:val="22"/>
        </w:rPr>
        <w:t xml:space="preserve">reciprocal removal of </w:t>
      </w:r>
      <w:r w:rsidR="00AB3206" w:rsidRPr="00B667C4">
        <w:rPr>
          <w:rFonts w:asciiTheme="minorHAnsi" w:hAnsiTheme="minorHAnsi" w:cstheme="minorHAnsi"/>
          <w:sz w:val="22"/>
        </w:rPr>
        <w:t xml:space="preserve">import tariffs </w:t>
      </w:r>
      <w:r w:rsidR="00013EC9" w:rsidRPr="00B667C4">
        <w:rPr>
          <w:rFonts w:asciiTheme="minorHAnsi" w:hAnsiTheme="minorHAnsi" w:cstheme="minorHAnsi"/>
          <w:sz w:val="22"/>
        </w:rPr>
        <w:t>than it is for joint action to streamline</w:t>
      </w:r>
      <w:r w:rsidR="00AB3206" w:rsidRPr="00B667C4">
        <w:rPr>
          <w:rFonts w:asciiTheme="minorHAnsi" w:hAnsiTheme="minorHAnsi" w:cstheme="minorHAnsi"/>
          <w:sz w:val="22"/>
        </w:rPr>
        <w:t xml:space="preserve"> administrative </w:t>
      </w:r>
      <w:r w:rsidR="00013EC9" w:rsidRPr="00B667C4">
        <w:rPr>
          <w:rFonts w:asciiTheme="minorHAnsi" w:hAnsiTheme="minorHAnsi" w:cstheme="minorHAnsi"/>
          <w:sz w:val="22"/>
        </w:rPr>
        <w:t xml:space="preserve">and regulatory </w:t>
      </w:r>
      <w:r w:rsidR="00AB3206" w:rsidRPr="00B667C4">
        <w:rPr>
          <w:rFonts w:asciiTheme="minorHAnsi" w:hAnsiTheme="minorHAnsi" w:cstheme="minorHAnsi"/>
          <w:sz w:val="22"/>
        </w:rPr>
        <w:t xml:space="preserve">procedures. </w:t>
      </w:r>
      <w:r w:rsidR="00013EC9" w:rsidRPr="00B667C4">
        <w:rPr>
          <w:rFonts w:asciiTheme="minorHAnsi" w:hAnsiTheme="minorHAnsi" w:cstheme="minorHAnsi"/>
          <w:sz w:val="22"/>
        </w:rPr>
        <w:t>T</w:t>
      </w:r>
      <w:r w:rsidR="00AB3206" w:rsidRPr="00B667C4">
        <w:rPr>
          <w:rFonts w:asciiTheme="minorHAnsi" w:hAnsiTheme="minorHAnsi" w:cstheme="minorHAnsi"/>
          <w:sz w:val="22"/>
        </w:rPr>
        <w:t xml:space="preserve">rade facilitation initiatives </w:t>
      </w:r>
      <w:r w:rsidR="00013EC9" w:rsidRPr="00B667C4">
        <w:rPr>
          <w:rFonts w:asciiTheme="minorHAnsi" w:hAnsiTheme="minorHAnsi" w:cstheme="minorHAnsi"/>
          <w:sz w:val="22"/>
        </w:rPr>
        <w:t xml:space="preserve">may be </w:t>
      </w:r>
      <w:r w:rsidR="00AB3206" w:rsidRPr="00B667C4">
        <w:rPr>
          <w:rFonts w:asciiTheme="minorHAnsi" w:hAnsiTheme="minorHAnsi" w:cstheme="minorHAnsi"/>
          <w:sz w:val="22"/>
        </w:rPr>
        <w:t>better pursued through commitment and incentive mechanisms</w:t>
      </w:r>
      <w:r w:rsidR="00637476" w:rsidRPr="00B667C4">
        <w:rPr>
          <w:rFonts w:asciiTheme="minorHAnsi" w:hAnsiTheme="minorHAnsi" w:cstheme="minorHAnsi"/>
          <w:sz w:val="22"/>
        </w:rPr>
        <w:t xml:space="preserve"> that</w:t>
      </w:r>
      <w:r w:rsidR="008874E6" w:rsidRPr="00B667C4">
        <w:rPr>
          <w:rFonts w:asciiTheme="minorHAnsi" w:hAnsiTheme="minorHAnsi" w:cstheme="minorHAnsi"/>
          <w:sz w:val="22"/>
        </w:rPr>
        <w:t xml:space="preserve"> mobilize </w:t>
      </w:r>
      <w:r w:rsidR="00013EC9" w:rsidRPr="00B667C4">
        <w:rPr>
          <w:rFonts w:asciiTheme="minorHAnsi" w:hAnsiTheme="minorHAnsi" w:cstheme="minorHAnsi"/>
          <w:sz w:val="22"/>
        </w:rPr>
        <w:t xml:space="preserve">and empower </w:t>
      </w:r>
      <w:r w:rsidR="008874E6" w:rsidRPr="00B667C4">
        <w:rPr>
          <w:rFonts w:asciiTheme="minorHAnsi" w:hAnsiTheme="minorHAnsi" w:cstheme="minorHAnsi"/>
          <w:sz w:val="22"/>
        </w:rPr>
        <w:t xml:space="preserve">domestic interest groups and stakeholders </w:t>
      </w:r>
      <w:r w:rsidR="00637476" w:rsidRPr="00B667C4">
        <w:rPr>
          <w:rFonts w:asciiTheme="minorHAnsi" w:hAnsiTheme="minorHAnsi" w:cstheme="minorHAnsi"/>
          <w:sz w:val="22"/>
        </w:rPr>
        <w:t xml:space="preserve">that will benefit from trade facilitation </w:t>
      </w:r>
      <w:r w:rsidR="00013EC9" w:rsidRPr="00B667C4">
        <w:rPr>
          <w:rFonts w:asciiTheme="minorHAnsi" w:hAnsiTheme="minorHAnsi" w:cstheme="minorHAnsi"/>
          <w:sz w:val="22"/>
        </w:rPr>
        <w:t>than through trade agreements where the presumption is that foreign firms will enforce commitments.</w:t>
      </w:r>
      <w:r w:rsidR="008874E6" w:rsidRPr="00B667C4">
        <w:rPr>
          <w:rFonts w:asciiTheme="minorHAnsi" w:hAnsiTheme="minorHAnsi" w:cstheme="minorHAnsi"/>
          <w:sz w:val="22"/>
        </w:rPr>
        <w:t xml:space="preserve"> </w:t>
      </w:r>
      <w:r w:rsidR="00637476" w:rsidRPr="00B667C4">
        <w:rPr>
          <w:rFonts w:asciiTheme="minorHAnsi" w:hAnsiTheme="minorHAnsi" w:cstheme="minorHAnsi"/>
          <w:sz w:val="22"/>
        </w:rPr>
        <w:t xml:space="preserve">As discussed below, </w:t>
      </w:r>
      <w:r w:rsidR="00013EC9" w:rsidRPr="00B667C4">
        <w:rPr>
          <w:rFonts w:asciiTheme="minorHAnsi" w:hAnsiTheme="minorHAnsi" w:cstheme="minorHAnsi"/>
          <w:sz w:val="22"/>
        </w:rPr>
        <w:t xml:space="preserve">such alternative </w:t>
      </w:r>
      <w:r w:rsidR="00637476" w:rsidRPr="00B667C4">
        <w:rPr>
          <w:rFonts w:asciiTheme="minorHAnsi" w:hAnsiTheme="minorHAnsi" w:cstheme="minorHAnsi"/>
          <w:sz w:val="22"/>
        </w:rPr>
        <w:t>approach</w:t>
      </w:r>
      <w:r w:rsidR="00013EC9" w:rsidRPr="00B667C4">
        <w:rPr>
          <w:rFonts w:asciiTheme="minorHAnsi" w:hAnsiTheme="minorHAnsi" w:cstheme="minorHAnsi"/>
          <w:sz w:val="22"/>
        </w:rPr>
        <w:t>es have been</w:t>
      </w:r>
      <w:r w:rsidR="00637476" w:rsidRPr="00B667C4">
        <w:rPr>
          <w:rFonts w:asciiTheme="minorHAnsi" w:hAnsiTheme="minorHAnsi" w:cstheme="minorHAnsi"/>
          <w:sz w:val="22"/>
        </w:rPr>
        <w:t xml:space="preserve"> used to good effect in the East African context</w:t>
      </w:r>
      <w:r w:rsidR="00FA4BD6" w:rsidRPr="00B667C4">
        <w:rPr>
          <w:rFonts w:asciiTheme="minorHAnsi" w:hAnsiTheme="minorHAnsi" w:cstheme="minorHAnsi"/>
          <w:sz w:val="22"/>
        </w:rPr>
        <w:t xml:space="preserve"> and deserve greater attention by researchers</w:t>
      </w:r>
      <w:r w:rsidR="00637476" w:rsidRPr="00B667C4">
        <w:rPr>
          <w:rFonts w:asciiTheme="minorHAnsi" w:hAnsiTheme="minorHAnsi" w:cstheme="minorHAnsi"/>
          <w:sz w:val="22"/>
        </w:rPr>
        <w:t>.</w:t>
      </w:r>
      <w:r w:rsidR="008874E6" w:rsidRPr="00B667C4">
        <w:rPr>
          <w:rFonts w:asciiTheme="minorHAnsi" w:hAnsiTheme="minorHAnsi" w:cstheme="minorHAnsi"/>
          <w:sz w:val="22"/>
        </w:rPr>
        <w:t xml:space="preserve"> </w:t>
      </w:r>
    </w:p>
    <w:p w14:paraId="5001F68D" w14:textId="69623EAB" w:rsidR="002764D2" w:rsidRPr="00B667C4" w:rsidRDefault="008874E6" w:rsidP="003163C6">
      <w:pPr>
        <w:pStyle w:val="BodyText"/>
        <w:numPr>
          <w:ilvl w:val="0"/>
          <w:numId w:val="0"/>
        </w:numPr>
        <w:spacing w:after="120" w:line="276" w:lineRule="auto"/>
        <w:rPr>
          <w:rFonts w:asciiTheme="minorHAnsi" w:hAnsiTheme="minorHAnsi" w:cstheme="minorHAnsi"/>
          <w:sz w:val="22"/>
        </w:rPr>
      </w:pPr>
      <w:r w:rsidRPr="00B667C4">
        <w:rPr>
          <w:rFonts w:asciiTheme="minorHAnsi" w:hAnsiTheme="minorHAnsi" w:cstheme="minorHAnsi"/>
          <w:sz w:val="22"/>
        </w:rPr>
        <w:t xml:space="preserve">The </w:t>
      </w:r>
      <w:r w:rsidR="009B254A" w:rsidRPr="00B667C4">
        <w:rPr>
          <w:rFonts w:asciiTheme="minorHAnsi" w:hAnsiTheme="minorHAnsi" w:cstheme="minorHAnsi"/>
          <w:sz w:val="22"/>
        </w:rPr>
        <w:t xml:space="preserve">TFA </w:t>
      </w:r>
      <w:r w:rsidR="00637476" w:rsidRPr="00B667C4">
        <w:rPr>
          <w:rFonts w:asciiTheme="minorHAnsi" w:hAnsiTheme="minorHAnsi" w:cstheme="minorHAnsi"/>
          <w:sz w:val="22"/>
        </w:rPr>
        <w:t xml:space="preserve">differs from the trade agreements that have been negotiated among African countries (or for that matter, those between the EU or the US and African countries) in having </w:t>
      </w:r>
      <w:r w:rsidR="00102966" w:rsidRPr="00B667C4">
        <w:rPr>
          <w:rFonts w:asciiTheme="minorHAnsi" w:hAnsiTheme="minorHAnsi" w:cstheme="minorHAnsi"/>
          <w:sz w:val="22"/>
        </w:rPr>
        <w:t>many</w:t>
      </w:r>
      <w:r w:rsidR="009B254A" w:rsidRPr="00B667C4">
        <w:rPr>
          <w:rFonts w:asciiTheme="minorHAnsi" w:hAnsiTheme="minorHAnsi" w:cstheme="minorHAnsi"/>
          <w:sz w:val="22"/>
        </w:rPr>
        <w:t xml:space="preserve"> </w:t>
      </w:r>
      <w:r w:rsidRPr="00B667C4">
        <w:rPr>
          <w:rFonts w:asciiTheme="minorHAnsi" w:hAnsiTheme="minorHAnsi" w:cstheme="minorHAnsi"/>
          <w:sz w:val="22"/>
        </w:rPr>
        <w:t xml:space="preserve">so-called </w:t>
      </w:r>
      <w:r w:rsidR="009B254A" w:rsidRPr="00B667C4">
        <w:rPr>
          <w:rFonts w:asciiTheme="minorHAnsi" w:hAnsiTheme="minorHAnsi" w:cstheme="minorHAnsi"/>
          <w:sz w:val="22"/>
        </w:rPr>
        <w:t>best-</w:t>
      </w:r>
      <w:r w:rsidRPr="00B667C4">
        <w:rPr>
          <w:rFonts w:asciiTheme="minorHAnsi" w:hAnsiTheme="minorHAnsi" w:cstheme="minorHAnsi"/>
          <w:sz w:val="22"/>
        </w:rPr>
        <w:t>endeavours</w:t>
      </w:r>
      <w:r w:rsidR="009B254A" w:rsidRPr="00B667C4">
        <w:rPr>
          <w:rFonts w:asciiTheme="minorHAnsi" w:hAnsiTheme="minorHAnsi" w:cstheme="minorHAnsi"/>
          <w:sz w:val="22"/>
        </w:rPr>
        <w:t xml:space="preserve"> commitments</w:t>
      </w:r>
      <w:r w:rsidRPr="00B667C4">
        <w:rPr>
          <w:rFonts w:asciiTheme="minorHAnsi" w:hAnsiTheme="minorHAnsi" w:cstheme="minorHAnsi"/>
          <w:sz w:val="22"/>
        </w:rPr>
        <w:t xml:space="preserve">, where implementation by developing countries is </w:t>
      </w:r>
      <w:r w:rsidR="009B254A" w:rsidRPr="00B667C4">
        <w:rPr>
          <w:rFonts w:asciiTheme="minorHAnsi" w:hAnsiTheme="minorHAnsi" w:cstheme="minorHAnsi"/>
          <w:sz w:val="22"/>
        </w:rPr>
        <w:t>link</w:t>
      </w:r>
      <w:r w:rsidRPr="00B667C4">
        <w:rPr>
          <w:rFonts w:asciiTheme="minorHAnsi" w:hAnsiTheme="minorHAnsi" w:cstheme="minorHAnsi"/>
          <w:sz w:val="22"/>
        </w:rPr>
        <w:t>ed</w:t>
      </w:r>
      <w:r w:rsidR="009B254A" w:rsidRPr="00B667C4">
        <w:rPr>
          <w:rFonts w:asciiTheme="minorHAnsi" w:hAnsiTheme="minorHAnsi" w:cstheme="minorHAnsi"/>
          <w:sz w:val="22"/>
        </w:rPr>
        <w:t xml:space="preserve"> to </w:t>
      </w:r>
      <w:r w:rsidRPr="00B667C4">
        <w:rPr>
          <w:rFonts w:asciiTheme="minorHAnsi" w:hAnsiTheme="minorHAnsi" w:cstheme="minorHAnsi"/>
          <w:sz w:val="22"/>
        </w:rPr>
        <w:t xml:space="preserve">the provision of </w:t>
      </w:r>
      <w:r w:rsidR="009B254A" w:rsidRPr="00B667C4">
        <w:rPr>
          <w:rFonts w:asciiTheme="minorHAnsi" w:hAnsiTheme="minorHAnsi" w:cstheme="minorHAnsi"/>
          <w:sz w:val="22"/>
        </w:rPr>
        <w:t xml:space="preserve">aid for trade </w:t>
      </w:r>
      <w:r w:rsidRPr="00B667C4">
        <w:rPr>
          <w:rFonts w:asciiTheme="minorHAnsi" w:hAnsiTheme="minorHAnsi" w:cstheme="minorHAnsi"/>
          <w:sz w:val="22"/>
        </w:rPr>
        <w:t>facilitation</w:t>
      </w:r>
      <w:r w:rsidR="009B254A" w:rsidRPr="00B667C4">
        <w:rPr>
          <w:rFonts w:asciiTheme="minorHAnsi" w:hAnsiTheme="minorHAnsi" w:cstheme="minorHAnsi"/>
          <w:sz w:val="22"/>
        </w:rPr>
        <w:t>. The</w:t>
      </w:r>
      <w:r w:rsidRPr="00B667C4">
        <w:rPr>
          <w:rFonts w:asciiTheme="minorHAnsi" w:hAnsiTheme="minorHAnsi" w:cstheme="minorHAnsi"/>
          <w:sz w:val="22"/>
        </w:rPr>
        <w:t>se</w:t>
      </w:r>
      <w:r w:rsidR="009B254A" w:rsidRPr="00B667C4">
        <w:rPr>
          <w:rFonts w:asciiTheme="minorHAnsi" w:hAnsiTheme="minorHAnsi" w:cstheme="minorHAnsi"/>
          <w:sz w:val="22"/>
        </w:rPr>
        <w:t xml:space="preserve"> </w:t>
      </w:r>
      <w:r w:rsidRPr="00B667C4">
        <w:rPr>
          <w:rFonts w:asciiTheme="minorHAnsi" w:hAnsiTheme="minorHAnsi" w:cstheme="minorHAnsi"/>
          <w:sz w:val="22"/>
        </w:rPr>
        <w:t xml:space="preserve">have been </w:t>
      </w:r>
      <w:r w:rsidR="009B254A" w:rsidRPr="00B667C4">
        <w:rPr>
          <w:rFonts w:asciiTheme="minorHAnsi" w:hAnsiTheme="minorHAnsi" w:cstheme="minorHAnsi"/>
          <w:sz w:val="22"/>
        </w:rPr>
        <w:t xml:space="preserve">criticized as being non-enforceable, but they may </w:t>
      </w:r>
      <w:r w:rsidRPr="00B667C4">
        <w:rPr>
          <w:rFonts w:asciiTheme="minorHAnsi" w:hAnsiTheme="minorHAnsi" w:cstheme="minorHAnsi"/>
          <w:sz w:val="22"/>
        </w:rPr>
        <w:t xml:space="preserve">be </w:t>
      </w:r>
      <w:r w:rsidR="009B254A" w:rsidRPr="00B667C4">
        <w:rPr>
          <w:rFonts w:asciiTheme="minorHAnsi" w:hAnsiTheme="minorHAnsi" w:cstheme="minorHAnsi"/>
          <w:sz w:val="22"/>
        </w:rPr>
        <w:t xml:space="preserve">effective </w:t>
      </w:r>
      <w:r w:rsidRPr="00B667C4">
        <w:rPr>
          <w:rFonts w:asciiTheme="minorHAnsi" w:hAnsiTheme="minorHAnsi" w:cstheme="minorHAnsi"/>
          <w:sz w:val="22"/>
        </w:rPr>
        <w:t xml:space="preserve">by </w:t>
      </w:r>
      <w:r w:rsidR="009B254A" w:rsidRPr="00B667C4">
        <w:rPr>
          <w:rFonts w:asciiTheme="minorHAnsi" w:hAnsiTheme="minorHAnsi" w:cstheme="minorHAnsi"/>
          <w:sz w:val="22"/>
        </w:rPr>
        <w:t>provid</w:t>
      </w:r>
      <w:r w:rsidRPr="00B667C4">
        <w:rPr>
          <w:rFonts w:asciiTheme="minorHAnsi" w:hAnsiTheme="minorHAnsi" w:cstheme="minorHAnsi"/>
          <w:sz w:val="22"/>
        </w:rPr>
        <w:t>ing</w:t>
      </w:r>
      <w:r w:rsidR="009B254A" w:rsidRPr="00B667C4">
        <w:rPr>
          <w:rFonts w:asciiTheme="minorHAnsi" w:hAnsiTheme="minorHAnsi" w:cstheme="minorHAnsi"/>
          <w:sz w:val="22"/>
        </w:rPr>
        <w:t xml:space="preserve"> a focal point for domestic stakeholders to hold governments accountable for better trade facilitation outcomes. </w:t>
      </w:r>
      <w:r w:rsidR="00637476" w:rsidRPr="00B667C4">
        <w:rPr>
          <w:rFonts w:asciiTheme="minorHAnsi" w:hAnsiTheme="minorHAnsi" w:cstheme="minorHAnsi"/>
          <w:sz w:val="22"/>
        </w:rPr>
        <w:t xml:space="preserve">They may also help </w:t>
      </w:r>
      <w:r w:rsidR="00601AE9" w:rsidRPr="00B667C4">
        <w:rPr>
          <w:rFonts w:asciiTheme="minorHAnsi" w:hAnsiTheme="minorHAnsi" w:cstheme="minorHAnsi"/>
          <w:sz w:val="22"/>
        </w:rPr>
        <w:t xml:space="preserve">by </w:t>
      </w:r>
      <w:r w:rsidR="00637476" w:rsidRPr="00B667C4">
        <w:rPr>
          <w:rFonts w:asciiTheme="minorHAnsi" w:hAnsiTheme="minorHAnsi" w:cstheme="minorHAnsi"/>
          <w:sz w:val="22"/>
        </w:rPr>
        <w:t>improving coordination between and among development agencies. T</w:t>
      </w:r>
      <w:r w:rsidR="009B254A" w:rsidRPr="00B667C4">
        <w:rPr>
          <w:rFonts w:asciiTheme="minorHAnsi" w:hAnsiTheme="minorHAnsi" w:cstheme="minorHAnsi"/>
          <w:sz w:val="22"/>
        </w:rPr>
        <w:t xml:space="preserve">here are many regionally-focused </w:t>
      </w:r>
      <w:r w:rsidR="00637476" w:rsidRPr="00B667C4">
        <w:rPr>
          <w:rFonts w:asciiTheme="minorHAnsi" w:hAnsiTheme="minorHAnsi" w:cstheme="minorHAnsi"/>
          <w:sz w:val="22"/>
        </w:rPr>
        <w:t xml:space="preserve">trade facilitation support </w:t>
      </w:r>
      <w:r w:rsidR="00013EC9" w:rsidRPr="00B667C4">
        <w:rPr>
          <w:rFonts w:asciiTheme="minorHAnsi" w:hAnsiTheme="minorHAnsi" w:cstheme="minorHAnsi"/>
          <w:sz w:val="22"/>
        </w:rPr>
        <w:t>initiatives</w:t>
      </w:r>
      <w:r w:rsidR="009B254A" w:rsidRPr="00B667C4">
        <w:rPr>
          <w:rFonts w:asciiTheme="minorHAnsi" w:hAnsiTheme="minorHAnsi" w:cstheme="minorHAnsi"/>
          <w:sz w:val="22"/>
        </w:rPr>
        <w:t xml:space="preserve">, </w:t>
      </w:r>
      <w:r w:rsidR="00013EC9" w:rsidRPr="00B667C4">
        <w:rPr>
          <w:rFonts w:asciiTheme="minorHAnsi" w:hAnsiTheme="minorHAnsi" w:cstheme="minorHAnsi"/>
          <w:sz w:val="22"/>
        </w:rPr>
        <w:t xml:space="preserve">including </w:t>
      </w:r>
      <w:r w:rsidR="009B254A" w:rsidRPr="00B667C4">
        <w:rPr>
          <w:rFonts w:asciiTheme="minorHAnsi" w:hAnsiTheme="minorHAnsi" w:cstheme="minorHAnsi"/>
          <w:sz w:val="22"/>
        </w:rPr>
        <w:t>the Trade Facilitation Programme (EBRD)</w:t>
      </w:r>
      <w:r w:rsidR="00637476" w:rsidRPr="00B667C4">
        <w:rPr>
          <w:rFonts w:asciiTheme="minorHAnsi" w:hAnsiTheme="minorHAnsi" w:cstheme="minorHAnsi"/>
          <w:sz w:val="22"/>
        </w:rPr>
        <w:t>, the UNCTAD-I</w:t>
      </w:r>
      <w:r w:rsidR="00B667C4">
        <w:rPr>
          <w:rFonts w:asciiTheme="minorHAnsi" w:hAnsiTheme="minorHAnsi" w:cstheme="minorHAnsi"/>
          <w:sz w:val="22"/>
        </w:rPr>
        <w:t>nternational Trade Centre (I</w:t>
      </w:r>
      <w:r w:rsidR="00637476" w:rsidRPr="00B667C4">
        <w:rPr>
          <w:rFonts w:asciiTheme="minorHAnsi" w:hAnsiTheme="minorHAnsi" w:cstheme="minorHAnsi"/>
          <w:sz w:val="22"/>
        </w:rPr>
        <w:t>TC</w:t>
      </w:r>
      <w:r w:rsidR="00B667C4">
        <w:rPr>
          <w:rFonts w:asciiTheme="minorHAnsi" w:hAnsiTheme="minorHAnsi" w:cstheme="minorHAnsi"/>
          <w:sz w:val="22"/>
        </w:rPr>
        <w:t>)</w:t>
      </w:r>
      <w:r w:rsidR="00637476" w:rsidRPr="00B667C4">
        <w:rPr>
          <w:rFonts w:asciiTheme="minorHAnsi" w:hAnsiTheme="minorHAnsi" w:cstheme="minorHAnsi"/>
          <w:sz w:val="22"/>
        </w:rPr>
        <w:t xml:space="preserve"> Partnership on Trade Facilitation, </w:t>
      </w:r>
      <w:r w:rsidR="009B254A" w:rsidRPr="00B667C4">
        <w:rPr>
          <w:rFonts w:asciiTheme="minorHAnsi" w:hAnsiTheme="minorHAnsi" w:cstheme="minorHAnsi"/>
          <w:sz w:val="22"/>
        </w:rPr>
        <w:t>the Africa Trade Fund (AfDB); TradeMark East Africa (</w:t>
      </w:r>
      <w:r w:rsidR="00013EC9" w:rsidRPr="00B667C4">
        <w:rPr>
          <w:rFonts w:asciiTheme="minorHAnsi" w:hAnsiTheme="minorHAnsi" w:cstheme="minorHAnsi"/>
          <w:sz w:val="22"/>
        </w:rPr>
        <w:t>multi-donor</w:t>
      </w:r>
      <w:r w:rsidR="009B254A" w:rsidRPr="00B667C4">
        <w:rPr>
          <w:rFonts w:asciiTheme="minorHAnsi" w:hAnsiTheme="minorHAnsi" w:cstheme="minorHAnsi"/>
          <w:sz w:val="22"/>
        </w:rPr>
        <w:t>), the Support to West African Regional Integration Programme (DFID); the West Africa Customs Administration Modernization project (WCO), and numerous bilateral trade support programs funded by national donor agencies and the EU.</w:t>
      </w:r>
      <w:r w:rsidR="00637476" w:rsidRPr="00B667C4">
        <w:rPr>
          <w:rFonts w:asciiTheme="minorHAnsi" w:hAnsiTheme="minorHAnsi" w:cstheme="minorHAnsi"/>
          <w:sz w:val="22"/>
        </w:rPr>
        <w:t xml:space="preserve"> The TFA may </w:t>
      </w:r>
      <w:r w:rsidR="00013EC9" w:rsidRPr="00B667C4">
        <w:rPr>
          <w:rFonts w:asciiTheme="minorHAnsi" w:hAnsiTheme="minorHAnsi" w:cstheme="minorHAnsi"/>
          <w:sz w:val="22"/>
        </w:rPr>
        <w:t xml:space="preserve">improve </w:t>
      </w:r>
      <w:r w:rsidR="00637476" w:rsidRPr="00B667C4">
        <w:rPr>
          <w:rFonts w:asciiTheme="minorHAnsi" w:hAnsiTheme="minorHAnsi" w:cstheme="minorHAnsi"/>
          <w:sz w:val="22"/>
        </w:rPr>
        <w:t>coordination across these disparate agencies</w:t>
      </w:r>
      <w:r w:rsidR="00601AE9" w:rsidRPr="00B667C4">
        <w:rPr>
          <w:rFonts w:asciiTheme="minorHAnsi" w:hAnsiTheme="minorHAnsi" w:cstheme="minorHAnsi"/>
          <w:sz w:val="22"/>
        </w:rPr>
        <w:t xml:space="preserve"> by inducing them to focus on different dimensions of implementation of the agreement</w:t>
      </w:r>
      <w:r w:rsidR="00637476" w:rsidRPr="00B667C4">
        <w:rPr>
          <w:rFonts w:asciiTheme="minorHAnsi" w:hAnsiTheme="minorHAnsi" w:cstheme="minorHAnsi"/>
          <w:sz w:val="22"/>
        </w:rPr>
        <w:t>.</w:t>
      </w:r>
      <w:r w:rsidR="00013EC9" w:rsidRPr="00B667C4">
        <w:rPr>
          <w:rStyle w:val="FootnoteReference"/>
          <w:rFonts w:asciiTheme="minorHAnsi" w:hAnsiTheme="minorHAnsi" w:cstheme="minorHAnsi"/>
          <w:sz w:val="22"/>
        </w:rPr>
        <w:footnoteReference w:id="5"/>
      </w:r>
      <w:r w:rsidR="00637476" w:rsidRPr="00B667C4">
        <w:rPr>
          <w:rFonts w:asciiTheme="minorHAnsi" w:hAnsiTheme="minorHAnsi" w:cstheme="minorHAnsi"/>
          <w:sz w:val="22"/>
        </w:rPr>
        <w:t xml:space="preserve"> </w:t>
      </w:r>
    </w:p>
    <w:p w14:paraId="4A8FA700" w14:textId="20E384DD" w:rsidR="0032173B" w:rsidRPr="00B667C4" w:rsidRDefault="00FA4BD6" w:rsidP="00FA4BD6">
      <w:pPr>
        <w:pStyle w:val="BodyText"/>
        <w:numPr>
          <w:ilvl w:val="0"/>
          <w:numId w:val="0"/>
        </w:numPr>
        <w:spacing w:after="120" w:line="276" w:lineRule="auto"/>
        <w:rPr>
          <w:rFonts w:asciiTheme="minorHAnsi" w:hAnsiTheme="minorHAnsi" w:cstheme="minorHAnsi"/>
          <w:sz w:val="22"/>
        </w:rPr>
      </w:pPr>
      <w:r w:rsidRPr="00B667C4">
        <w:rPr>
          <w:rFonts w:asciiTheme="minorHAnsi" w:hAnsiTheme="minorHAnsi" w:cstheme="minorHAnsi"/>
          <w:sz w:val="22"/>
        </w:rPr>
        <w:t>It is important to recognize th</w:t>
      </w:r>
      <w:r w:rsidR="009B254A" w:rsidRPr="00B667C4">
        <w:rPr>
          <w:rFonts w:asciiTheme="minorHAnsi" w:hAnsiTheme="minorHAnsi" w:cstheme="minorHAnsi"/>
          <w:sz w:val="22"/>
        </w:rPr>
        <w:t>e potential “silo problem</w:t>
      </w:r>
      <w:r w:rsidRPr="00B667C4">
        <w:rPr>
          <w:rFonts w:asciiTheme="minorHAnsi" w:hAnsiTheme="minorHAnsi" w:cstheme="minorHAnsi"/>
          <w:sz w:val="22"/>
        </w:rPr>
        <w:t>s</w:t>
      </w:r>
      <w:r w:rsidR="009B254A" w:rsidRPr="00B667C4">
        <w:rPr>
          <w:rFonts w:asciiTheme="minorHAnsi" w:hAnsiTheme="minorHAnsi" w:cstheme="minorHAnsi"/>
          <w:sz w:val="22"/>
        </w:rPr>
        <w:t xml:space="preserve">” that can lead to a focus on the trees instead of the forest. </w:t>
      </w:r>
      <w:r w:rsidR="00601AE9" w:rsidRPr="00B667C4">
        <w:rPr>
          <w:rFonts w:asciiTheme="minorHAnsi" w:hAnsiTheme="minorHAnsi" w:cstheme="minorHAnsi"/>
          <w:sz w:val="22"/>
        </w:rPr>
        <w:t>For example, m</w:t>
      </w:r>
      <w:r w:rsidR="003F488B" w:rsidRPr="00B667C4">
        <w:rPr>
          <w:rFonts w:asciiTheme="minorHAnsi" w:hAnsiTheme="minorHAnsi" w:cstheme="minorHAnsi"/>
          <w:sz w:val="22"/>
        </w:rPr>
        <w:t>ost of the economic literature on trade facilitation does not consider the role of infrastructure</w:t>
      </w:r>
      <w:r w:rsidR="00C7142C" w:rsidRPr="00B667C4">
        <w:rPr>
          <w:rFonts w:asciiTheme="minorHAnsi" w:hAnsiTheme="minorHAnsi" w:cstheme="minorHAnsi"/>
          <w:sz w:val="22"/>
        </w:rPr>
        <w:t xml:space="preserve">. </w:t>
      </w:r>
      <w:r w:rsidR="00BC47D3" w:rsidRPr="00B667C4">
        <w:rPr>
          <w:rFonts w:asciiTheme="minorHAnsi" w:hAnsiTheme="minorHAnsi" w:cstheme="minorHAnsi"/>
          <w:sz w:val="22"/>
        </w:rPr>
        <w:t xml:space="preserve">Spence and Karingi (2011) show that trade facilitation in Africa, defined as improvements in the types of indicators used in the literature, increases total-factor productivity and exports, but that the quality and quantity of physical infrastructure also matters importantly. </w:t>
      </w:r>
      <w:r w:rsidR="00C7142C" w:rsidRPr="00B667C4">
        <w:rPr>
          <w:rFonts w:asciiTheme="minorHAnsi" w:hAnsiTheme="minorHAnsi" w:cstheme="minorHAnsi"/>
          <w:sz w:val="22"/>
        </w:rPr>
        <w:t>C</w:t>
      </w:r>
      <w:r w:rsidR="003F488B" w:rsidRPr="00B667C4">
        <w:rPr>
          <w:rFonts w:asciiTheme="minorHAnsi" w:hAnsiTheme="minorHAnsi" w:cstheme="minorHAnsi"/>
          <w:sz w:val="22"/>
        </w:rPr>
        <w:t xml:space="preserve">learly trade costs for the continent are high partly </w:t>
      </w:r>
      <w:r w:rsidR="002F6DB3" w:rsidRPr="00B667C4">
        <w:rPr>
          <w:rFonts w:asciiTheme="minorHAnsi" w:hAnsiTheme="minorHAnsi" w:cstheme="minorHAnsi"/>
          <w:sz w:val="22"/>
        </w:rPr>
        <w:t>because of</w:t>
      </w:r>
      <w:r w:rsidR="00255608" w:rsidRPr="00B667C4">
        <w:rPr>
          <w:rFonts w:asciiTheme="minorHAnsi" w:hAnsiTheme="minorHAnsi" w:cstheme="minorHAnsi"/>
          <w:sz w:val="22"/>
        </w:rPr>
        <w:t xml:space="preserve"> </w:t>
      </w:r>
      <w:r w:rsidR="003F488B" w:rsidRPr="00B667C4">
        <w:rPr>
          <w:rFonts w:asciiTheme="minorHAnsi" w:hAnsiTheme="minorHAnsi" w:cstheme="minorHAnsi"/>
          <w:sz w:val="22"/>
        </w:rPr>
        <w:t xml:space="preserve">the large infrastructure deficit </w:t>
      </w:r>
      <w:r w:rsidR="00C7142C" w:rsidRPr="00B667C4">
        <w:rPr>
          <w:rFonts w:asciiTheme="minorHAnsi" w:hAnsiTheme="minorHAnsi" w:cstheme="minorHAnsi"/>
          <w:sz w:val="22"/>
        </w:rPr>
        <w:t>that exists</w:t>
      </w:r>
      <w:r w:rsidR="003F488B" w:rsidRPr="00B667C4">
        <w:rPr>
          <w:rFonts w:asciiTheme="minorHAnsi" w:hAnsiTheme="minorHAnsi" w:cstheme="minorHAnsi"/>
          <w:sz w:val="22"/>
        </w:rPr>
        <w:t>. The Africa Infrastructure Country Diagnostic stud</w:t>
      </w:r>
      <w:r w:rsidR="00C7142C" w:rsidRPr="00B667C4">
        <w:rPr>
          <w:rFonts w:asciiTheme="minorHAnsi" w:hAnsiTheme="minorHAnsi" w:cstheme="minorHAnsi"/>
          <w:sz w:val="22"/>
        </w:rPr>
        <w:t xml:space="preserve">ies </w:t>
      </w:r>
      <w:r w:rsidR="003F488B" w:rsidRPr="00B667C4">
        <w:rPr>
          <w:rFonts w:asciiTheme="minorHAnsi" w:hAnsiTheme="minorHAnsi" w:cstheme="minorHAnsi"/>
          <w:sz w:val="22"/>
        </w:rPr>
        <w:t>f</w:t>
      </w:r>
      <w:r w:rsidR="00C7142C" w:rsidRPr="00B667C4">
        <w:rPr>
          <w:rFonts w:asciiTheme="minorHAnsi" w:hAnsiTheme="minorHAnsi" w:cstheme="minorHAnsi"/>
          <w:sz w:val="22"/>
        </w:rPr>
        <w:t>in</w:t>
      </w:r>
      <w:r w:rsidR="003F488B" w:rsidRPr="00B667C4">
        <w:rPr>
          <w:rFonts w:asciiTheme="minorHAnsi" w:hAnsiTheme="minorHAnsi" w:cstheme="minorHAnsi"/>
          <w:sz w:val="22"/>
        </w:rPr>
        <w:t>d deficit</w:t>
      </w:r>
      <w:r w:rsidR="00C7142C" w:rsidRPr="00B667C4">
        <w:rPr>
          <w:rFonts w:asciiTheme="minorHAnsi" w:hAnsiTheme="minorHAnsi" w:cstheme="minorHAnsi"/>
          <w:sz w:val="22"/>
        </w:rPr>
        <w:t>s</w:t>
      </w:r>
      <w:r w:rsidR="003F488B" w:rsidRPr="00B667C4">
        <w:rPr>
          <w:rFonts w:asciiTheme="minorHAnsi" w:hAnsiTheme="minorHAnsi" w:cstheme="minorHAnsi"/>
          <w:sz w:val="22"/>
        </w:rPr>
        <w:t xml:space="preserve"> across all the core </w:t>
      </w:r>
      <w:r w:rsidR="00C7142C" w:rsidRPr="00B667C4">
        <w:rPr>
          <w:rFonts w:asciiTheme="minorHAnsi" w:hAnsiTheme="minorHAnsi" w:cstheme="minorHAnsi"/>
          <w:sz w:val="22"/>
        </w:rPr>
        <w:t xml:space="preserve">areas of </w:t>
      </w:r>
      <w:r w:rsidR="003F488B" w:rsidRPr="00B667C4">
        <w:rPr>
          <w:rFonts w:asciiTheme="minorHAnsi" w:hAnsiTheme="minorHAnsi" w:cstheme="minorHAnsi"/>
          <w:sz w:val="22"/>
        </w:rPr>
        <w:t xml:space="preserve">infrastructure, </w:t>
      </w:r>
      <w:r w:rsidR="00C7142C" w:rsidRPr="00B667C4">
        <w:rPr>
          <w:rFonts w:asciiTheme="minorHAnsi" w:hAnsiTheme="minorHAnsi" w:cstheme="minorHAnsi"/>
          <w:sz w:val="22"/>
        </w:rPr>
        <w:t xml:space="preserve">including </w:t>
      </w:r>
      <w:r w:rsidR="003F488B" w:rsidRPr="00B667C4">
        <w:rPr>
          <w:rFonts w:asciiTheme="minorHAnsi" w:hAnsiTheme="minorHAnsi" w:cstheme="minorHAnsi"/>
          <w:sz w:val="22"/>
        </w:rPr>
        <w:t xml:space="preserve">transport, telecommunications and energy. </w:t>
      </w:r>
      <w:r w:rsidR="009F3634" w:rsidRPr="00B667C4">
        <w:rPr>
          <w:rFonts w:asciiTheme="minorHAnsi" w:hAnsiTheme="minorHAnsi" w:cstheme="minorHAnsi"/>
          <w:sz w:val="22"/>
        </w:rPr>
        <w:t>I</w:t>
      </w:r>
      <w:r w:rsidR="00255608" w:rsidRPr="00B667C4">
        <w:rPr>
          <w:rFonts w:asciiTheme="minorHAnsi" w:hAnsiTheme="minorHAnsi" w:cstheme="minorHAnsi"/>
          <w:sz w:val="22"/>
        </w:rPr>
        <w:t>mprov</w:t>
      </w:r>
      <w:r w:rsidR="009F3634" w:rsidRPr="00B667C4">
        <w:rPr>
          <w:rFonts w:asciiTheme="minorHAnsi" w:hAnsiTheme="minorHAnsi" w:cstheme="minorHAnsi"/>
          <w:sz w:val="22"/>
        </w:rPr>
        <w:t xml:space="preserve">ing </w:t>
      </w:r>
      <w:r w:rsidR="00255608" w:rsidRPr="00B667C4">
        <w:rPr>
          <w:rFonts w:asciiTheme="minorHAnsi" w:hAnsiTheme="minorHAnsi" w:cstheme="minorHAnsi"/>
          <w:sz w:val="22"/>
        </w:rPr>
        <w:t xml:space="preserve">road connectivity in Sub-Saharan Africa could expand overland trade </w:t>
      </w:r>
      <w:r w:rsidR="009F3634" w:rsidRPr="00B667C4">
        <w:rPr>
          <w:rFonts w:asciiTheme="minorHAnsi" w:hAnsiTheme="minorHAnsi" w:cstheme="minorHAnsi"/>
          <w:sz w:val="22"/>
        </w:rPr>
        <w:t>substantially –u</w:t>
      </w:r>
      <w:r w:rsidR="00255608" w:rsidRPr="00B667C4">
        <w:rPr>
          <w:rFonts w:asciiTheme="minorHAnsi" w:hAnsiTheme="minorHAnsi" w:cstheme="minorHAnsi"/>
          <w:sz w:val="22"/>
        </w:rPr>
        <w:t xml:space="preserve">sing </w:t>
      </w:r>
      <w:r w:rsidR="009F3634" w:rsidRPr="00B667C4">
        <w:rPr>
          <w:rFonts w:asciiTheme="minorHAnsi" w:hAnsiTheme="minorHAnsi" w:cstheme="minorHAnsi"/>
          <w:sz w:val="22"/>
        </w:rPr>
        <w:t>W</w:t>
      </w:r>
      <w:r w:rsidR="00255608" w:rsidRPr="00B667C4">
        <w:rPr>
          <w:rFonts w:asciiTheme="minorHAnsi" w:hAnsiTheme="minorHAnsi" w:cstheme="minorHAnsi"/>
          <w:sz w:val="22"/>
        </w:rPr>
        <w:t xml:space="preserve">orld Bank </w:t>
      </w:r>
      <w:r w:rsidR="009F3634" w:rsidRPr="00B667C4">
        <w:rPr>
          <w:rFonts w:asciiTheme="minorHAnsi" w:hAnsiTheme="minorHAnsi" w:cstheme="minorHAnsi"/>
          <w:sz w:val="22"/>
        </w:rPr>
        <w:t xml:space="preserve">road project </w:t>
      </w:r>
      <w:r w:rsidR="00255608" w:rsidRPr="00B667C4">
        <w:rPr>
          <w:rFonts w:asciiTheme="minorHAnsi" w:hAnsiTheme="minorHAnsi" w:cstheme="minorHAnsi"/>
          <w:sz w:val="22"/>
        </w:rPr>
        <w:t xml:space="preserve">data, </w:t>
      </w:r>
      <w:r w:rsidR="009F3634" w:rsidRPr="00B667C4">
        <w:rPr>
          <w:rFonts w:asciiTheme="minorHAnsi" w:hAnsiTheme="minorHAnsi" w:cstheme="minorHAnsi"/>
          <w:sz w:val="22"/>
        </w:rPr>
        <w:t>Buys et al. (2010) estimate an investment of US$20 billion would foster up to $250bn in additional trade over 15 years</w:t>
      </w:r>
      <w:r w:rsidR="00255608" w:rsidRPr="00B667C4">
        <w:rPr>
          <w:rFonts w:asciiTheme="minorHAnsi" w:hAnsiTheme="minorHAnsi" w:cstheme="minorHAnsi"/>
          <w:sz w:val="22"/>
        </w:rPr>
        <w:t>.</w:t>
      </w:r>
    </w:p>
    <w:p w14:paraId="74BD1489" w14:textId="03E58856" w:rsidR="0050619C" w:rsidRPr="00B667C4" w:rsidRDefault="00BC47D3" w:rsidP="00FA4BD6">
      <w:pPr>
        <w:pStyle w:val="BodyText"/>
        <w:numPr>
          <w:ilvl w:val="0"/>
          <w:numId w:val="0"/>
        </w:numPr>
        <w:spacing w:after="120" w:line="276" w:lineRule="auto"/>
        <w:rPr>
          <w:rFonts w:asciiTheme="minorHAnsi" w:eastAsia="Times New Roman" w:hAnsiTheme="minorHAnsi" w:cstheme="minorHAnsi"/>
          <w:color w:val="333333"/>
          <w:sz w:val="22"/>
        </w:rPr>
      </w:pPr>
      <w:r w:rsidRPr="00B667C4">
        <w:rPr>
          <w:rFonts w:asciiTheme="minorHAnsi" w:hAnsiTheme="minorHAnsi" w:cstheme="minorHAnsi"/>
          <w:sz w:val="22"/>
        </w:rPr>
        <w:t xml:space="preserve">Despite major investment in infrastructure by African governments, supported by bilateral and multilateral development agencies, the gap remains high. </w:t>
      </w:r>
      <w:r w:rsidR="0050619C" w:rsidRPr="00B667C4">
        <w:rPr>
          <w:rFonts w:asciiTheme="minorHAnsi" w:hAnsiTheme="minorHAnsi" w:cstheme="minorHAnsi"/>
          <w:color w:val="333333"/>
          <w:sz w:val="22"/>
          <w:shd w:val="clear" w:color="auto" w:fill="FFFFFF"/>
        </w:rPr>
        <w:t>Africa’s infrastructure financing needs are estimated at US</w:t>
      </w:r>
      <w:r w:rsidR="00FA4BD6" w:rsidRPr="00B667C4">
        <w:rPr>
          <w:rFonts w:asciiTheme="minorHAnsi" w:hAnsiTheme="minorHAnsi" w:cstheme="minorHAnsi"/>
          <w:color w:val="333333"/>
          <w:sz w:val="22"/>
          <w:shd w:val="clear" w:color="auto" w:fill="FFFFFF"/>
        </w:rPr>
        <w:t>$</w:t>
      </w:r>
      <w:r w:rsidR="0050619C" w:rsidRPr="00B667C4">
        <w:rPr>
          <w:rFonts w:asciiTheme="minorHAnsi" w:hAnsiTheme="minorHAnsi" w:cstheme="minorHAnsi"/>
          <w:color w:val="333333"/>
          <w:sz w:val="22"/>
          <w:shd w:val="clear" w:color="auto" w:fill="FFFFFF"/>
        </w:rPr>
        <w:t>95 billion per annum and there is currently a funding gap of US</w:t>
      </w:r>
      <w:r w:rsidR="00FA4BD6" w:rsidRPr="00B667C4">
        <w:rPr>
          <w:rFonts w:asciiTheme="minorHAnsi" w:hAnsiTheme="minorHAnsi" w:cstheme="minorHAnsi"/>
          <w:color w:val="333333"/>
          <w:sz w:val="22"/>
          <w:shd w:val="clear" w:color="auto" w:fill="FFFFFF"/>
        </w:rPr>
        <w:t>$</w:t>
      </w:r>
      <w:r w:rsidR="0050619C" w:rsidRPr="00B667C4">
        <w:rPr>
          <w:rFonts w:asciiTheme="minorHAnsi" w:hAnsiTheme="minorHAnsi" w:cstheme="minorHAnsi"/>
          <w:color w:val="333333"/>
          <w:sz w:val="22"/>
          <w:shd w:val="clear" w:color="auto" w:fill="FFFFFF"/>
        </w:rPr>
        <w:t>50 billion per annum. The African Development Bank jointly with 22 African countries ha</w:t>
      </w:r>
      <w:r w:rsidR="00601AE9" w:rsidRPr="00B667C4">
        <w:rPr>
          <w:rFonts w:asciiTheme="minorHAnsi" w:hAnsiTheme="minorHAnsi" w:cstheme="minorHAnsi"/>
          <w:color w:val="333333"/>
          <w:sz w:val="22"/>
          <w:shd w:val="clear" w:color="auto" w:fill="FFFFFF"/>
        </w:rPr>
        <w:t>s</w:t>
      </w:r>
      <w:r w:rsidR="0050619C" w:rsidRPr="00B667C4">
        <w:rPr>
          <w:rFonts w:asciiTheme="minorHAnsi" w:hAnsiTheme="minorHAnsi" w:cstheme="minorHAnsi"/>
          <w:color w:val="333333"/>
          <w:sz w:val="22"/>
          <w:shd w:val="clear" w:color="auto" w:fill="FFFFFF"/>
        </w:rPr>
        <w:t xml:space="preserve"> created </w:t>
      </w:r>
      <w:r w:rsidR="00601AE9" w:rsidRPr="00B667C4">
        <w:rPr>
          <w:rFonts w:asciiTheme="minorHAnsi" w:hAnsiTheme="minorHAnsi" w:cstheme="minorHAnsi"/>
          <w:color w:val="333333"/>
          <w:sz w:val="22"/>
          <w:shd w:val="clear" w:color="auto" w:fill="FFFFFF"/>
        </w:rPr>
        <w:t>“</w:t>
      </w:r>
      <w:r w:rsidR="0050619C" w:rsidRPr="00B667C4">
        <w:rPr>
          <w:rFonts w:asciiTheme="minorHAnsi" w:hAnsiTheme="minorHAnsi" w:cstheme="minorHAnsi"/>
          <w:color w:val="333333"/>
          <w:sz w:val="22"/>
          <w:shd w:val="clear" w:color="auto" w:fill="FFFFFF"/>
        </w:rPr>
        <w:t>Africa50</w:t>
      </w:r>
      <w:r w:rsidR="00601AE9" w:rsidRPr="00B667C4">
        <w:rPr>
          <w:rFonts w:asciiTheme="minorHAnsi" w:hAnsiTheme="minorHAnsi" w:cstheme="minorHAnsi"/>
          <w:color w:val="333333"/>
          <w:sz w:val="22"/>
          <w:shd w:val="clear" w:color="auto" w:fill="FFFFFF"/>
        </w:rPr>
        <w:t>”</w:t>
      </w:r>
      <w:r w:rsidR="0050619C" w:rsidRPr="00B667C4">
        <w:rPr>
          <w:rFonts w:asciiTheme="minorHAnsi" w:hAnsiTheme="minorHAnsi" w:cstheme="minorHAnsi"/>
          <w:color w:val="333333"/>
          <w:sz w:val="22"/>
          <w:shd w:val="clear" w:color="auto" w:fill="FFFFFF"/>
        </w:rPr>
        <w:t xml:space="preserve"> as an infrastructure investment platform designed to significantly narrow the infrastructure finance gap in Africa, primarily by shortening the time between project idea and financial close – from a current average of 7 years to under 3 years, thereby delivering a critical mass of infrastructure in Africa in the short-to-medium term. Africa50 builds on AfDB’s recent successes in overcoming early-stage bottlenecks to infrastructure projects, mobilizing political support for necessary reforms, and deploying skilled experts to work along-side government</w:t>
      </w:r>
      <w:r w:rsidR="00601AE9" w:rsidRPr="00B667C4">
        <w:rPr>
          <w:rFonts w:asciiTheme="minorHAnsi" w:hAnsiTheme="minorHAnsi" w:cstheme="minorHAnsi"/>
          <w:color w:val="333333"/>
          <w:sz w:val="22"/>
          <w:shd w:val="clear" w:color="auto" w:fill="FFFFFF"/>
        </w:rPr>
        <w:t xml:space="preserve">, </w:t>
      </w:r>
      <w:r w:rsidR="0050619C" w:rsidRPr="00B667C4">
        <w:rPr>
          <w:rFonts w:asciiTheme="minorHAnsi" w:hAnsiTheme="minorHAnsi" w:cstheme="minorHAnsi"/>
          <w:color w:val="333333"/>
          <w:sz w:val="22"/>
          <w:shd w:val="clear" w:color="auto" w:fill="FFFFFF"/>
        </w:rPr>
        <w:t>act</w:t>
      </w:r>
      <w:r w:rsidR="00601AE9" w:rsidRPr="00B667C4">
        <w:rPr>
          <w:rFonts w:asciiTheme="minorHAnsi" w:hAnsiTheme="minorHAnsi" w:cstheme="minorHAnsi"/>
          <w:color w:val="333333"/>
          <w:sz w:val="22"/>
          <w:shd w:val="clear" w:color="auto" w:fill="FFFFFF"/>
        </w:rPr>
        <w:t>ing</w:t>
      </w:r>
      <w:r w:rsidR="0050619C" w:rsidRPr="00B667C4">
        <w:rPr>
          <w:rFonts w:asciiTheme="minorHAnsi" w:hAnsiTheme="minorHAnsi" w:cstheme="minorHAnsi"/>
          <w:color w:val="333333"/>
          <w:sz w:val="22"/>
          <w:shd w:val="clear" w:color="auto" w:fill="FFFFFF"/>
        </w:rPr>
        <w:t xml:space="preserve"> as a</w:t>
      </w:r>
      <w:r w:rsidR="0050619C" w:rsidRPr="00B667C4">
        <w:rPr>
          <w:rFonts w:asciiTheme="minorHAnsi" w:eastAsia="Times New Roman" w:hAnsiTheme="minorHAnsi" w:cstheme="minorHAnsi"/>
          <w:color w:val="333333"/>
          <w:sz w:val="22"/>
        </w:rPr>
        <w:t xml:space="preserve"> “one-stop-shop” </w:t>
      </w:r>
      <w:r w:rsidR="00601AE9" w:rsidRPr="00B667C4">
        <w:rPr>
          <w:rFonts w:asciiTheme="minorHAnsi" w:eastAsia="Times New Roman" w:hAnsiTheme="minorHAnsi" w:cstheme="minorHAnsi"/>
          <w:color w:val="333333"/>
          <w:sz w:val="22"/>
        </w:rPr>
        <w:t xml:space="preserve">to address </w:t>
      </w:r>
      <w:r w:rsidR="0050619C" w:rsidRPr="00B667C4">
        <w:rPr>
          <w:rFonts w:asciiTheme="minorHAnsi" w:eastAsia="Times New Roman" w:hAnsiTheme="minorHAnsi" w:cstheme="minorHAnsi"/>
          <w:color w:val="333333"/>
          <w:sz w:val="22"/>
        </w:rPr>
        <w:t>market failure</w:t>
      </w:r>
      <w:r w:rsidR="00601AE9" w:rsidRPr="00B667C4">
        <w:rPr>
          <w:rFonts w:asciiTheme="minorHAnsi" w:eastAsia="Times New Roman" w:hAnsiTheme="minorHAnsi" w:cstheme="minorHAnsi"/>
          <w:color w:val="333333"/>
          <w:sz w:val="22"/>
        </w:rPr>
        <w:t>s</w:t>
      </w:r>
      <w:r w:rsidR="0050619C" w:rsidRPr="00B667C4">
        <w:rPr>
          <w:rFonts w:asciiTheme="minorHAnsi" w:eastAsia="Times New Roman" w:hAnsiTheme="minorHAnsi" w:cstheme="minorHAnsi"/>
          <w:color w:val="333333"/>
          <w:sz w:val="22"/>
        </w:rPr>
        <w:t xml:space="preserve"> at each stage of infrastructure financing chain</w:t>
      </w:r>
      <w:r w:rsidR="00601AE9" w:rsidRPr="00B667C4">
        <w:rPr>
          <w:rFonts w:asciiTheme="minorHAnsi" w:eastAsia="Times New Roman" w:hAnsiTheme="minorHAnsi" w:cstheme="minorHAnsi"/>
          <w:color w:val="333333"/>
          <w:sz w:val="22"/>
        </w:rPr>
        <w:t>.</w:t>
      </w:r>
      <w:r w:rsidR="00601AE9" w:rsidRPr="00B667C4">
        <w:rPr>
          <w:rStyle w:val="FootnoteReference"/>
          <w:rFonts w:asciiTheme="minorHAnsi" w:eastAsia="Times New Roman" w:hAnsiTheme="minorHAnsi" w:cstheme="minorHAnsi"/>
          <w:color w:val="333333"/>
          <w:sz w:val="22"/>
        </w:rPr>
        <w:footnoteReference w:id="6"/>
      </w:r>
      <w:r w:rsidR="0050619C" w:rsidRPr="00B667C4">
        <w:rPr>
          <w:rFonts w:asciiTheme="minorHAnsi" w:eastAsia="Times New Roman" w:hAnsiTheme="minorHAnsi" w:cstheme="minorHAnsi"/>
          <w:color w:val="333333"/>
          <w:sz w:val="22"/>
        </w:rPr>
        <w:t xml:space="preserve"> </w:t>
      </w:r>
    </w:p>
    <w:p w14:paraId="50035210" w14:textId="08FCE76E" w:rsidR="00601AE9" w:rsidRPr="00B667C4" w:rsidRDefault="00C205DC" w:rsidP="00134C4C">
      <w:pPr>
        <w:pStyle w:val="BodyText"/>
        <w:numPr>
          <w:ilvl w:val="0"/>
          <w:numId w:val="0"/>
        </w:numPr>
        <w:spacing w:after="120" w:line="276" w:lineRule="auto"/>
        <w:rPr>
          <w:rFonts w:asciiTheme="minorHAnsi" w:hAnsiTheme="minorHAnsi" w:cstheme="minorHAnsi"/>
          <w:bCs/>
          <w:sz w:val="22"/>
        </w:rPr>
      </w:pPr>
      <w:r w:rsidRPr="00B667C4">
        <w:rPr>
          <w:rFonts w:asciiTheme="minorHAnsi" w:hAnsiTheme="minorHAnsi" w:cstheme="minorHAnsi"/>
          <w:sz w:val="22"/>
        </w:rPr>
        <w:t>T</w:t>
      </w:r>
      <w:r w:rsidR="00BC47D3" w:rsidRPr="00B667C4">
        <w:rPr>
          <w:rFonts w:asciiTheme="minorHAnsi" w:hAnsiTheme="minorHAnsi" w:cstheme="minorHAnsi"/>
          <w:sz w:val="22"/>
        </w:rPr>
        <w:t xml:space="preserve">he </w:t>
      </w:r>
      <w:r w:rsidR="00134C4C" w:rsidRPr="00B667C4">
        <w:rPr>
          <w:rFonts w:asciiTheme="minorHAnsi" w:hAnsiTheme="minorHAnsi" w:cstheme="minorHAnsi"/>
          <w:sz w:val="22"/>
        </w:rPr>
        <w:t>social-</w:t>
      </w:r>
      <w:r w:rsidR="00601AE9" w:rsidRPr="00B667C4">
        <w:rPr>
          <w:rFonts w:asciiTheme="minorHAnsi" w:hAnsiTheme="minorHAnsi" w:cstheme="minorHAnsi"/>
          <w:sz w:val="22"/>
        </w:rPr>
        <w:t xml:space="preserve">economic </w:t>
      </w:r>
      <w:r w:rsidR="00BC47D3" w:rsidRPr="00B667C4">
        <w:rPr>
          <w:rFonts w:asciiTheme="minorHAnsi" w:hAnsiTheme="minorHAnsi" w:cstheme="minorHAnsi"/>
          <w:sz w:val="22"/>
        </w:rPr>
        <w:t xml:space="preserve">return to transport infrastructure is highest when investments in </w:t>
      </w:r>
      <w:r w:rsidRPr="00B667C4">
        <w:rPr>
          <w:rFonts w:asciiTheme="minorHAnsi" w:hAnsiTheme="minorHAnsi" w:cstheme="minorHAnsi"/>
          <w:sz w:val="22"/>
        </w:rPr>
        <w:t xml:space="preserve">facilities and networks </w:t>
      </w:r>
      <w:r w:rsidR="00BC47D3" w:rsidRPr="00B667C4">
        <w:rPr>
          <w:rFonts w:asciiTheme="minorHAnsi" w:hAnsiTheme="minorHAnsi" w:cstheme="minorHAnsi"/>
          <w:sz w:val="22"/>
        </w:rPr>
        <w:t>– such as transport corridors – is coupled with programs to improve</w:t>
      </w:r>
      <w:r w:rsidRPr="00B667C4">
        <w:rPr>
          <w:rFonts w:asciiTheme="minorHAnsi" w:hAnsiTheme="minorHAnsi" w:cstheme="minorHAnsi"/>
          <w:sz w:val="22"/>
        </w:rPr>
        <w:t xml:space="preserve"> the “soft” infrastructure needed to streamline the legal, institutional and regulatory frameworks necessary for competitive logistics services.  However, the soft issues have not typically received as much attention as hard infrastructure by policymakers and the development community, despite the fact they will not require much in the way of financial investments. Informed guesstimates of the cost of implementing ‘soft’ trade facilitation measures of the type included in the WTO TFA generally suggest these </w:t>
      </w:r>
      <w:r w:rsidR="00601AE9" w:rsidRPr="00B667C4">
        <w:rPr>
          <w:rFonts w:asciiTheme="minorHAnsi" w:hAnsiTheme="minorHAnsi" w:cstheme="minorHAnsi"/>
          <w:sz w:val="22"/>
        </w:rPr>
        <w:t xml:space="preserve">are </w:t>
      </w:r>
      <w:r w:rsidRPr="00B667C4">
        <w:rPr>
          <w:rFonts w:asciiTheme="minorHAnsi" w:hAnsiTheme="minorHAnsi" w:cstheme="minorHAnsi"/>
          <w:sz w:val="22"/>
        </w:rPr>
        <w:t xml:space="preserve">relatively small – with estimates on the order of US$7-11 million for a sample of representative developing countries (see, e.g., OECD, 2012). </w:t>
      </w:r>
      <w:r w:rsidR="00601AE9" w:rsidRPr="00B667C4">
        <w:rPr>
          <w:rFonts w:asciiTheme="minorHAnsi" w:hAnsiTheme="minorHAnsi" w:cstheme="minorHAnsi"/>
          <w:sz w:val="22"/>
        </w:rPr>
        <w:t xml:space="preserve">Research on the effects of aid for trade facilitation projects </w:t>
      </w:r>
      <w:r w:rsidR="00F52B64" w:rsidRPr="00B667C4">
        <w:rPr>
          <w:rFonts w:asciiTheme="minorHAnsi" w:hAnsiTheme="minorHAnsi" w:cstheme="minorHAnsi"/>
          <w:sz w:val="22"/>
        </w:rPr>
        <w:t>a</w:t>
      </w:r>
      <w:r w:rsidR="00601AE9" w:rsidRPr="00B667C4">
        <w:rPr>
          <w:rFonts w:asciiTheme="minorHAnsi" w:hAnsiTheme="minorHAnsi" w:cstheme="minorHAnsi"/>
          <w:bCs/>
          <w:sz w:val="22"/>
        </w:rPr>
        <w:t>lso f</w:t>
      </w:r>
      <w:r w:rsidR="00F52B64" w:rsidRPr="00B667C4">
        <w:rPr>
          <w:rFonts w:asciiTheme="minorHAnsi" w:hAnsiTheme="minorHAnsi" w:cstheme="minorHAnsi"/>
          <w:bCs/>
          <w:sz w:val="22"/>
        </w:rPr>
        <w:t>ind</w:t>
      </w:r>
      <w:r w:rsidR="00601AE9" w:rsidRPr="00B667C4">
        <w:rPr>
          <w:rFonts w:asciiTheme="minorHAnsi" w:hAnsiTheme="minorHAnsi" w:cstheme="minorHAnsi"/>
          <w:bCs/>
          <w:sz w:val="22"/>
        </w:rPr>
        <w:t xml:space="preserve"> that the return on </w:t>
      </w:r>
      <w:r w:rsidR="00F52B64" w:rsidRPr="00B667C4">
        <w:rPr>
          <w:rFonts w:asciiTheme="minorHAnsi" w:hAnsiTheme="minorHAnsi" w:cstheme="minorHAnsi"/>
          <w:bCs/>
          <w:sz w:val="22"/>
        </w:rPr>
        <w:t xml:space="preserve">such </w:t>
      </w:r>
      <w:r w:rsidR="00601AE9" w:rsidRPr="00B667C4">
        <w:rPr>
          <w:rFonts w:asciiTheme="minorHAnsi" w:hAnsiTheme="minorHAnsi" w:cstheme="minorHAnsi"/>
          <w:bCs/>
          <w:sz w:val="22"/>
        </w:rPr>
        <w:t>investment</w:t>
      </w:r>
      <w:r w:rsidR="00F52B64" w:rsidRPr="00B667C4">
        <w:rPr>
          <w:rFonts w:asciiTheme="minorHAnsi" w:hAnsiTheme="minorHAnsi" w:cstheme="minorHAnsi"/>
          <w:bCs/>
          <w:sz w:val="22"/>
        </w:rPr>
        <w:t>s</w:t>
      </w:r>
      <w:r w:rsidR="00601AE9" w:rsidRPr="00B667C4">
        <w:rPr>
          <w:rFonts w:asciiTheme="minorHAnsi" w:hAnsiTheme="minorHAnsi" w:cstheme="minorHAnsi"/>
          <w:bCs/>
          <w:sz w:val="22"/>
        </w:rPr>
        <w:t xml:space="preserve"> </w:t>
      </w:r>
      <w:r w:rsidR="00F52B64" w:rsidRPr="00B667C4">
        <w:rPr>
          <w:rFonts w:asciiTheme="minorHAnsi" w:hAnsiTheme="minorHAnsi" w:cstheme="minorHAnsi"/>
          <w:bCs/>
          <w:sz w:val="22"/>
        </w:rPr>
        <w:t xml:space="preserve">is </w:t>
      </w:r>
      <w:r w:rsidR="00601AE9" w:rsidRPr="00B667C4">
        <w:rPr>
          <w:rFonts w:asciiTheme="minorHAnsi" w:hAnsiTheme="minorHAnsi" w:cstheme="minorHAnsi"/>
          <w:bCs/>
          <w:sz w:val="22"/>
        </w:rPr>
        <w:t>high</w:t>
      </w:r>
      <w:r w:rsidR="00F52B64" w:rsidRPr="00B667C4">
        <w:rPr>
          <w:rFonts w:asciiTheme="minorHAnsi" w:hAnsiTheme="minorHAnsi" w:cstheme="minorHAnsi"/>
          <w:bCs/>
          <w:sz w:val="22"/>
        </w:rPr>
        <w:t xml:space="preserve">, with </w:t>
      </w:r>
      <w:r w:rsidR="00601AE9" w:rsidRPr="00B667C4">
        <w:rPr>
          <w:rFonts w:asciiTheme="minorHAnsi" w:hAnsiTheme="minorHAnsi" w:cstheme="minorHAnsi"/>
          <w:bCs/>
          <w:sz w:val="22"/>
        </w:rPr>
        <w:t xml:space="preserve">benefits </w:t>
      </w:r>
      <w:r w:rsidR="00F52B64" w:rsidRPr="00B667C4">
        <w:rPr>
          <w:rFonts w:asciiTheme="minorHAnsi" w:hAnsiTheme="minorHAnsi" w:cstheme="minorHAnsi"/>
          <w:bCs/>
          <w:sz w:val="22"/>
        </w:rPr>
        <w:t xml:space="preserve">substantially </w:t>
      </w:r>
      <w:r w:rsidR="00601AE9" w:rsidRPr="00B667C4">
        <w:rPr>
          <w:rFonts w:asciiTheme="minorHAnsi" w:hAnsiTheme="minorHAnsi" w:cstheme="minorHAnsi"/>
          <w:bCs/>
          <w:sz w:val="22"/>
        </w:rPr>
        <w:t>exceed</w:t>
      </w:r>
      <w:r w:rsidR="00F52B64" w:rsidRPr="00B667C4">
        <w:rPr>
          <w:rFonts w:asciiTheme="minorHAnsi" w:hAnsiTheme="minorHAnsi" w:cstheme="minorHAnsi"/>
          <w:bCs/>
          <w:sz w:val="22"/>
        </w:rPr>
        <w:t>ing</w:t>
      </w:r>
      <w:r w:rsidR="00601AE9" w:rsidRPr="00B667C4">
        <w:rPr>
          <w:rFonts w:asciiTheme="minorHAnsi" w:hAnsiTheme="minorHAnsi" w:cstheme="minorHAnsi"/>
          <w:bCs/>
          <w:sz w:val="22"/>
        </w:rPr>
        <w:t xml:space="preserve"> costs (e.g., </w:t>
      </w:r>
      <w:r w:rsidR="00B7096C" w:rsidRPr="00B667C4">
        <w:rPr>
          <w:rFonts w:asciiTheme="minorHAnsi" w:hAnsiTheme="minorHAnsi" w:cstheme="minorHAnsi"/>
          <w:sz w:val="22"/>
        </w:rPr>
        <w:t>Calì</w:t>
      </w:r>
      <w:r w:rsidR="00601AE9" w:rsidRPr="00B667C4">
        <w:rPr>
          <w:rFonts w:asciiTheme="minorHAnsi" w:hAnsiTheme="minorHAnsi" w:cstheme="minorHAnsi"/>
          <w:bCs/>
          <w:sz w:val="22"/>
        </w:rPr>
        <w:t xml:space="preserve"> and te Velde, 2011; Busse et al. 2012; Königer et al. 2011; Portugal-Perez and Wilson, 2012; Helble et al., 2012).</w:t>
      </w:r>
      <w:r w:rsidR="00134C4C" w:rsidRPr="00B667C4">
        <w:rPr>
          <w:rFonts w:asciiTheme="minorHAnsi" w:hAnsiTheme="minorHAnsi" w:cstheme="minorHAnsi"/>
          <w:bCs/>
          <w:sz w:val="22"/>
        </w:rPr>
        <w:t xml:space="preserve"> Moreover, research suggests one important benefit of trade facilitation is that it will support greater diversification (Cadot et al. 2011; </w:t>
      </w:r>
      <w:r w:rsidR="00134C4C" w:rsidRPr="00B667C4">
        <w:rPr>
          <w:rFonts w:asciiTheme="minorHAnsi" w:hAnsiTheme="minorHAnsi" w:cstheme="minorHAnsi"/>
          <w:color w:val="000000" w:themeColor="text1"/>
          <w:sz w:val="22"/>
          <w:shd w:val="clear" w:color="auto" w:fill="FFFFFF"/>
        </w:rPr>
        <w:t xml:space="preserve">Beverelli et al. </w:t>
      </w:r>
      <w:r w:rsidR="00134C4C" w:rsidRPr="00B667C4">
        <w:rPr>
          <w:rFonts w:asciiTheme="minorHAnsi" w:hAnsiTheme="minorHAnsi" w:cstheme="minorHAnsi"/>
          <w:sz w:val="22"/>
        </w:rPr>
        <w:t>2015; Persson, 2013)</w:t>
      </w:r>
      <w:r w:rsidR="00134C4C" w:rsidRPr="00B667C4">
        <w:rPr>
          <w:rFonts w:asciiTheme="minorHAnsi" w:hAnsiTheme="minorHAnsi" w:cstheme="minorHAnsi"/>
          <w:bCs/>
          <w:sz w:val="22"/>
        </w:rPr>
        <w:t xml:space="preserve">. </w:t>
      </w:r>
    </w:p>
    <w:p w14:paraId="309977CB" w14:textId="288902F5" w:rsidR="00DD585D" w:rsidRPr="00B667C4" w:rsidRDefault="00271B5D" w:rsidP="007938D1">
      <w:pPr>
        <w:spacing w:after="120" w:line="276" w:lineRule="auto"/>
        <w:rPr>
          <w:rFonts w:asciiTheme="minorHAnsi" w:hAnsiTheme="minorHAnsi" w:cstheme="minorHAnsi"/>
          <w:bCs/>
          <w:sz w:val="22"/>
        </w:rPr>
      </w:pPr>
      <w:r w:rsidRPr="00B667C4">
        <w:rPr>
          <w:rFonts w:asciiTheme="minorHAnsi" w:hAnsiTheme="minorHAnsi" w:cstheme="minorHAnsi"/>
          <w:sz w:val="22"/>
        </w:rPr>
        <w:t xml:space="preserve">The main reason for not addressing these issue areas is that they are fraught with significant political economy complications. An example is provided by the Abidjan-Lagos corridor, which handles more than two-thirds of West African trade, transport and transit activities. A major ongoing project aims to improve </w:t>
      </w:r>
      <w:r w:rsidRPr="00B667C4">
        <w:rPr>
          <w:rFonts w:asciiTheme="minorHAnsi" w:hAnsiTheme="minorHAnsi" w:cstheme="minorHAnsi"/>
          <w:bCs/>
          <w:sz w:val="22"/>
        </w:rPr>
        <w:t xml:space="preserve">the road infrastructure between Abidjan and Lagos as well as modernizing the ports in </w:t>
      </w:r>
      <w:r w:rsidRPr="00B667C4">
        <w:rPr>
          <w:rFonts w:asciiTheme="minorHAnsi" w:hAnsiTheme="minorHAnsi" w:cstheme="minorHAnsi"/>
          <w:sz w:val="22"/>
        </w:rPr>
        <w:t xml:space="preserve">Côte d’Ivoire, Ghana, Togo, Benin and Nigeria. Soft infrastructure determinants of the operation of the corridor include </w:t>
      </w:r>
      <w:r w:rsidRPr="00B667C4">
        <w:rPr>
          <w:rFonts w:asciiTheme="minorHAnsi" w:hAnsiTheme="minorHAnsi" w:cstheme="minorHAnsi"/>
          <w:bCs/>
          <w:sz w:val="22"/>
        </w:rPr>
        <w:t>customs operations at borders, port efficiency, and reduction of roadblocks along the corridor. A significant share of the total project costs of US</w:t>
      </w:r>
      <w:r w:rsidR="00FA4BD6" w:rsidRPr="00B667C4">
        <w:rPr>
          <w:rFonts w:asciiTheme="minorHAnsi" w:hAnsiTheme="minorHAnsi" w:cstheme="minorHAnsi"/>
          <w:bCs/>
          <w:sz w:val="22"/>
        </w:rPr>
        <w:t>$</w:t>
      </w:r>
      <w:r w:rsidRPr="00B667C4">
        <w:rPr>
          <w:rFonts w:asciiTheme="minorHAnsi" w:hAnsiTheme="minorHAnsi" w:cstheme="minorHAnsi"/>
          <w:bCs/>
          <w:sz w:val="22"/>
        </w:rPr>
        <w:t xml:space="preserve">405.5 million is devoted to road construction, with a total of 530 km targeted to be rehabilitated. As of </w:t>
      </w:r>
      <w:r w:rsidR="00DC7FDD" w:rsidRPr="00B667C4">
        <w:rPr>
          <w:rFonts w:asciiTheme="minorHAnsi" w:hAnsiTheme="minorHAnsi" w:cstheme="minorHAnsi"/>
          <w:bCs/>
          <w:sz w:val="22"/>
        </w:rPr>
        <w:t>September 30, 2016</w:t>
      </w:r>
      <w:r w:rsidR="002F6DB3" w:rsidRPr="00B667C4">
        <w:rPr>
          <w:rFonts w:asciiTheme="minorHAnsi" w:hAnsiTheme="minorHAnsi" w:cstheme="minorHAnsi"/>
          <w:bCs/>
          <w:sz w:val="22"/>
        </w:rPr>
        <w:t>,</w:t>
      </w:r>
      <w:r w:rsidRPr="00B667C4">
        <w:rPr>
          <w:rFonts w:asciiTheme="minorHAnsi" w:hAnsiTheme="minorHAnsi" w:cstheme="minorHAnsi"/>
          <w:bCs/>
          <w:sz w:val="22"/>
        </w:rPr>
        <w:t xml:space="preserve"> all construction programs were on target; but there was </w:t>
      </w:r>
      <w:r w:rsidR="007938D1" w:rsidRPr="00B667C4">
        <w:rPr>
          <w:rFonts w:asciiTheme="minorHAnsi" w:hAnsiTheme="minorHAnsi" w:cstheme="minorHAnsi"/>
          <w:bCs/>
          <w:sz w:val="22"/>
        </w:rPr>
        <w:t>a lot of heterogeneity in terms of progress in attaining the targets that had been set (Table 1).  Th</w:t>
      </w:r>
      <w:r w:rsidR="00B667C4">
        <w:rPr>
          <w:rFonts w:asciiTheme="minorHAnsi" w:hAnsiTheme="minorHAnsi" w:cstheme="minorHAnsi"/>
          <w:bCs/>
          <w:sz w:val="22"/>
        </w:rPr>
        <w:t xml:space="preserve">is reflects </w:t>
      </w:r>
      <w:r w:rsidR="007938D1" w:rsidRPr="00B667C4">
        <w:rPr>
          <w:rFonts w:asciiTheme="minorHAnsi" w:hAnsiTheme="minorHAnsi" w:cstheme="minorHAnsi"/>
          <w:bCs/>
          <w:sz w:val="22"/>
        </w:rPr>
        <w:t>limited or indeed lack of</w:t>
      </w:r>
      <w:r w:rsidRPr="00B667C4">
        <w:rPr>
          <w:rFonts w:asciiTheme="minorHAnsi" w:hAnsiTheme="minorHAnsi" w:cstheme="minorHAnsi"/>
          <w:bCs/>
          <w:sz w:val="22"/>
        </w:rPr>
        <w:t xml:space="preserve"> progress on ‘soft’ aspects of trade facilitation. </w:t>
      </w:r>
      <w:r w:rsidR="0085585D" w:rsidRPr="00B667C4">
        <w:rPr>
          <w:rFonts w:asciiTheme="minorHAnsi" w:hAnsiTheme="minorHAnsi" w:cstheme="minorHAnsi"/>
          <w:bCs/>
          <w:sz w:val="22"/>
        </w:rPr>
        <w:t xml:space="preserve">Various </w:t>
      </w:r>
      <w:r w:rsidR="00DC7FDD" w:rsidRPr="00B667C4">
        <w:rPr>
          <w:rFonts w:asciiTheme="minorHAnsi" w:hAnsiTheme="minorHAnsi" w:cstheme="minorHAnsi"/>
          <w:bCs/>
          <w:sz w:val="22"/>
        </w:rPr>
        <w:t xml:space="preserve">reasons have been put forward </w:t>
      </w:r>
      <w:r w:rsidR="00B667C4">
        <w:rPr>
          <w:rFonts w:asciiTheme="minorHAnsi" w:hAnsiTheme="minorHAnsi" w:cstheme="minorHAnsi"/>
          <w:bCs/>
          <w:sz w:val="22"/>
        </w:rPr>
        <w:t>for this th</w:t>
      </w:r>
      <w:r w:rsidR="00DC7FDD" w:rsidRPr="00B667C4">
        <w:rPr>
          <w:rFonts w:asciiTheme="minorHAnsi" w:hAnsiTheme="minorHAnsi" w:cstheme="minorHAnsi"/>
          <w:bCs/>
          <w:sz w:val="22"/>
        </w:rPr>
        <w:t>is. First th</w:t>
      </w:r>
      <w:r w:rsidR="007D51B8" w:rsidRPr="00B667C4">
        <w:rPr>
          <w:rFonts w:asciiTheme="minorHAnsi" w:hAnsiTheme="minorHAnsi" w:cstheme="minorHAnsi"/>
          <w:bCs/>
          <w:sz w:val="22"/>
        </w:rPr>
        <w:t xml:space="preserve">e infrastructure component </w:t>
      </w:r>
      <w:r w:rsidR="00DC7FDD" w:rsidRPr="00B667C4">
        <w:rPr>
          <w:rFonts w:asciiTheme="minorHAnsi" w:hAnsiTheme="minorHAnsi" w:cstheme="minorHAnsi"/>
          <w:bCs/>
          <w:sz w:val="22"/>
        </w:rPr>
        <w:t>was a consolidated effort of the European Union, the African Development Bank and the World Bank</w:t>
      </w:r>
      <w:r w:rsidR="00B667C4">
        <w:rPr>
          <w:rFonts w:asciiTheme="minorHAnsi" w:hAnsiTheme="minorHAnsi" w:cstheme="minorHAnsi"/>
          <w:bCs/>
          <w:sz w:val="22"/>
        </w:rPr>
        <w:t>,</w:t>
      </w:r>
      <w:r w:rsidR="00DC7FDD" w:rsidRPr="00B667C4">
        <w:rPr>
          <w:rFonts w:asciiTheme="minorHAnsi" w:hAnsiTheme="minorHAnsi" w:cstheme="minorHAnsi"/>
          <w:bCs/>
          <w:sz w:val="22"/>
        </w:rPr>
        <w:t xml:space="preserve"> </w:t>
      </w:r>
      <w:r w:rsidR="007D51B8" w:rsidRPr="00B667C4">
        <w:rPr>
          <w:rFonts w:asciiTheme="minorHAnsi" w:hAnsiTheme="minorHAnsi" w:cstheme="minorHAnsi"/>
          <w:bCs/>
          <w:sz w:val="22"/>
        </w:rPr>
        <w:t xml:space="preserve">without </w:t>
      </w:r>
      <w:r w:rsidR="00B667C4">
        <w:rPr>
          <w:rFonts w:asciiTheme="minorHAnsi" w:hAnsiTheme="minorHAnsi" w:cstheme="minorHAnsi"/>
          <w:bCs/>
          <w:sz w:val="22"/>
        </w:rPr>
        <w:t xml:space="preserve">a </w:t>
      </w:r>
      <w:r w:rsidR="00DC7FDD" w:rsidRPr="00B667C4">
        <w:rPr>
          <w:rFonts w:asciiTheme="minorHAnsi" w:hAnsiTheme="minorHAnsi" w:cstheme="minorHAnsi"/>
          <w:bCs/>
          <w:sz w:val="22"/>
        </w:rPr>
        <w:t>formal framework for coordination</w:t>
      </w:r>
      <w:r w:rsidR="007D51B8" w:rsidRPr="00B667C4">
        <w:rPr>
          <w:rFonts w:asciiTheme="minorHAnsi" w:hAnsiTheme="minorHAnsi" w:cstheme="minorHAnsi"/>
          <w:bCs/>
          <w:sz w:val="22"/>
        </w:rPr>
        <w:t>. Task team leaders from each of the agencies changed several times leading to different management styles and approaches to capitalizing on the strengths of each agency. Second, while the hard and soft components were built into the project design, staffing for the soft component</w:t>
      </w:r>
      <w:r w:rsidR="00B667C4">
        <w:rPr>
          <w:rFonts w:asciiTheme="minorHAnsi" w:hAnsiTheme="minorHAnsi" w:cstheme="minorHAnsi"/>
          <w:bCs/>
          <w:sz w:val="22"/>
        </w:rPr>
        <w:t>s</w:t>
      </w:r>
      <w:r w:rsidR="007D51B8" w:rsidRPr="00B667C4">
        <w:rPr>
          <w:rFonts w:asciiTheme="minorHAnsi" w:hAnsiTheme="minorHAnsi" w:cstheme="minorHAnsi"/>
          <w:bCs/>
          <w:sz w:val="22"/>
        </w:rPr>
        <w:t xml:space="preserve"> was provided </w:t>
      </w:r>
      <w:r w:rsidR="00BF1340">
        <w:rPr>
          <w:rFonts w:asciiTheme="minorHAnsi" w:hAnsiTheme="minorHAnsi" w:cstheme="minorHAnsi"/>
          <w:bCs/>
          <w:sz w:val="22"/>
        </w:rPr>
        <w:t xml:space="preserve">initially via </w:t>
      </w:r>
      <w:r w:rsidR="007D51B8" w:rsidRPr="00B667C4">
        <w:rPr>
          <w:rFonts w:asciiTheme="minorHAnsi" w:hAnsiTheme="minorHAnsi" w:cstheme="minorHAnsi"/>
          <w:bCs/>
          <w:sz w:val="22"/>
        </w:rPr>
        <w:t>short term consultancy arrangement</w:t>
      </w:r>
      <w:r w:rsidR="00BF1340">
        <w:rPr>
          <w:rFonts w:asciiTheme="minorHAnsi" w:hAnsiTheme="minorHAnsi" w:cstheme="minorHAnsi"/>
          <w:bCs/>
          <w:sz w:val="22"/>
        </w:rPr>
        <w:t xml:space="preserve">s, adversely impacting on </w:t>
      </w:r>
      <w:r w:rsidR="007D51B8" w:rsidRPr="00B667C4">
        <w:rPr>
          <w:rFonts w:asciiTheme="minorHAnsi" w:hAnsiTheme="minorHAnsi" w:cstheme="minorHAnsi"/>
          <w:bCs/>
          <w:sz w:val="22"/>
        </w:rPr>
        <w:t xml:space="preserve">the strategic planning </w:t>
      </w:r>
      <w:r w:rsidR="00CB15A3" w:rsidRPr="00B667C4">
        <w:rPr>
          <w:rFonts w:asciiTheme="minorHAnsi" w:hAnsiTheme="minorHAnsi" w:cstheme="minorHAnsi"/>
          <w:bCs/>
          <w:sz w:val="22"/>
        </w:rPr>
        <w:t xml:space="preserve">that </w:t>
      </w:r>
      <w:r w:rsidR="00BF1340">
        <w:rPr>
          <w:rFonts w:asciiTheme="minorHAnsi" w:hAnsiTheme="minorHAnsi" w:cstheme="minorHAnsi"/>
          <w:bCs/>
          <w:sz w:val="22"/>
        </w:rPr>
        <w:t>i</w:t>
      </w:r>
      <w:r w:rsidR="00CB15A3" w:rsidRPr="00B667C4">
        <w:rPr>
          <w:rFonts w:asciiTheme="minorHAnsi" w:hAnsiTheme="minorHAnsi" w:cstheme="minorHAnsi"/>
          <w:bCs/>
          <w:sz w:val="22"/>
        </w:rPr>
        <w:t xml:space="preserve">s required for customs reform and establishment of Single Windows. </w:t>
      </w:r>
      <w:r w:rsidR="0085585D" w:rsidRPr="00B667C4">
        <w:rPr>
          <w:rFonts w:asciiTheme="minorHAnsi" w:hAnsiTheme="minorHAnsi" w:cstheme="minorHAnsi"/>
          <w:bCs/>
          <w:sz w:val="22"/>
        </w:rPr>
        <w:t xml:space="preserve">Third, inter-departmental coordination is fraught with numerous inefficiencies both on the development agencies and client governments’ sides; </w:t>
      </w:r>
      <w:r w:rsidR="00102966" w:rsidRPr="00B667C4">
        <w:rPr>
          <w:rFonts w:asciiTheme="minorHAnsi" w:hAnsiTheme="minorHAnsi" w:cstheme="minorHAnsi"/>
          <w:bCs/>
          <w:sz w:val="22"/>
        </w:rPr>
        <w:t>thus,</w:t>
      </w:r>
      <w:r w:rsidR="0085585D" w:rsidRPr="00B667C4">
        <w:rPr>
          <w:rFonts w:asciiTheme="minorHAnsi" w:hAnsiTheme="minorHAnsi" w:cstheme="minorHAnsi"/>
          <w:bCs/>
          <w:sz w:val="22"/>
        </w:rPr>
        <w:t xml:space="preserve"> even when experts are available they are rarely mobilized. Fourth</w:t>
      </w:r>
      <w:r w:rsidR="00CB15A3" w:rsidRPr="00B667C4">
        <w:rPr>
          <w:rFonts w:asciiTheme="minorHAnsi" w:hAnsiTheme="minorHAnsi" w:cstheme="minorHAnsi"/>
          <w:bCs/>
          <w:sz w:val="22"/>
        </w:rPr>
        <w:t>, the targets for key indicator suggest the team did not</w:t>
      </w:r>
      <w:r w:rsidR="00532224" w:rsidRPr="00B667C4">
        <w:rPr>
          <w:rFonts w:asciiTheme="minorHAnsi" w:hAnsiTheme="minorHAnsi" w:cstheme="minorHAnsi"/>
          <w:bCs/>
          <w:sz w:val="22"/>
        </w:rPr>
        <w:t xml:space="preserve"> foresee the project as a game changer for trade facilitation. For example, the projected dwell time</w:t>
      </w:r>
      <w:r w:rsidR="00BF1340">
        <w:rPr>
          <w:rFonts w:asciiTheme="minorHAnsi" w:hAnsiTheme="minorHAnsi" w:cstheme="minorHAnsi"/>
          <w:bCs/>
          <w:sz w:val="22"/>
        </w:rPr>
        <w:t>s of</w:t>
      </w:r>
      <w:r w:rsidR="00532224" w:rsidRPr="00B667C4">
        <w:rPr>
          <w:rFonts w:asciiTheme="minorHAnsi" w:hAnsiTheme="minorHAnsi" w:cstheme="minorHAnsi"/>
          <w:bCs/>
          <w:sz w:val="22"/>
        </w:rPr>
        <w:t xml:space="preserve"> over 10 days at all the ports of the region </w:t>
      </w:r>
      <w:r w:rsidR="00BF1340">
        <w:rPr>
          <w:rFonts w:asciiTheme="minorHAnsi" w:hAnsiTheme="minorHAnsi" w:cstheme="minorHAnsi"/>
          <w:bCs/>
          <w:sz w:val="22"/>
        </w:rPr>
        <w:t>compares to</w:t>
      </w:r>
      <w:r w:rsidR="00532224" w:rsidRPr="00B667C4">
        <w:rPr>
          <w:rFonts w:asciiTheme="minorHAnsi" w:hAnsiTheme="minorHAnsi" w:cstheme="minorHAnsi"/>
          <w:bCs/>
          <w:sz w:val="22"/>
        </w:rPr>
        <w:t xml:space="preserve"> 4 days at the port of Mombasa. </w:t>
      </w:r>
    </w:p>
    <w:p w14:paraId="76222D74" w14:textId="417B8F45" w:rsidR="00271B5D" w:rsidRPr="00B667C4" w:rsidRDefault="00271B5D" w:rsidP="007938D1">
      <w:pPr>
        <w:spacing w:after="120" w:line="276" w:lineRule="auto"/>
        <w:rPr>
          <w:rFonts w:asciiTheme="minorHAnsi" w:hAnsiTheme="minorHAnsi" w:cstheme="minorHAnsi"/>
          <w:sz w:val="22"/>
        </w:rPr>
      </w:pPr>
      <w:r w:rsidRPr="00B667C4">
        <w:rPr>
          <w:rFonts w:asciiTheme="minorHAnsi" w:hAnsiTheme="minorHAnsi" w:cstheme="minorHAnsi"/>
          <w:bCs/>
          <w:sz w:val="22"/>
        </w:rPr>
        <w:t>The question is what kinds of mechanisms can help to ensure the needed focus on soft infrastructure and trade facilitation is sustained and made more effective.</w:t>
      </w:r>
      <w:r w:rsidR="00FA4BD6" w:rsidRPr="00B667C4">
        <w:rPr>
          <w:rFonts w:asciiTheme="minorHAnsi" w:hAnsiTheme="minorHAnsi" w:cstheme="minorHAnsi"/>
          <w:bCs/>
          <w:sz w:val="22"/>
        </w:rPr>
        <w:t xml:space="preserve"> </w:t>
      </w:r>
      <w:r w:rsidR="00102966" w:rsidRPr="00B667C4">
        <w:rPr>
          <w:rFonts w:asciiTheme="minorHAnsi" w:hAnsiTheme="minorHAnsi" w:cstheme="minorHAnsi"/>
          <w:bCs/>
          <w:sz w:val="22"/>
        </w:rPr>
        <w:t xml:space="preserve">There is a need for an incentive that fosters collaboration, </w:t>
      </w:r>
      <w:r w:rsidR="00FA4BD6" w:rsidRPr="00B667C4">
        <w:rPr>
          <w:rFonts w:asciiTheme="minorHAnsi" w:hAnsiTheme="minorHAnsi" w:cstheme="minorHAnsi"/>
          <w:sz w:val="22"/>
        </w:rPr>
        <w:t xml:space="preserve">regular communication and interaction between the various departments and agencies dealing with different dimensions of trade facilitation </w:t>
      </w:r>
      <w:r w:rsidR="00102966" w:rsidRPr="00B667C4">
        <w:rPr>
          <w:rFonts w:asciiTheme="minorHAnsi" w:hAnsiTheme="minorHAnsi" w:cstheme="minorHAnsi"/>
          <w:sz w:val="22"/>
        </w:rPr>
        <w:t xml:space="preserve">as well as mechanisms that </w:t>
      </w:r>
      <w:r w:rsidR="00FA4BD6" w:rsidRPr="00B667C4">
        <w:rPr>
          <w:rFonts w:asciiTheme="minorHAnsi" w:hAnsiTheme="minorHAnsi" w:cstheme="minorHAnsi"/>
          <w:sz w:val="22"/>
        </w:rPr>
        <w:t>can help governments to identify gaps and possible overlaps that are important from a trade cost reduction perspective. This calls for mechanisms that bring in the business community and take a ‘whole of the supply chain’ view of assessing progress made in facilitating trade, without regard to whether policies are covered by trade agreements. Some efforts along these lines have been implemented in the African context and are discussed below.</w:t>
      </w:r>
    </w:p>
    <w:p w14:paraId="35F45BB6" w14:textId="13C44F45" w:rsidR="00BC47D3" w:rsidRPr="00B667C4" w:rsidRDefault="00BC47D3" w:rsidP="003163C6">
      <w:pPr>
        <w:spacing w:before="120" w:after="120"/>
        <w:jc w:val="center"/>
        <w:rPr>
          <w:rFonts w:asciiTheme="minorHAnsi" w:hAnsiTheme="minorHAnsi" w:cstheme="minorHAnsi"/>
          <w:b/>
          <w:sz w:val="22"/>
        </w:rPr>
      </w:pPr>
      <w:r w:rsidRPr="00B667C4">
        <w:rPr>
          <w:rFonts w:asciiTheme="minorHAnsi" w:hAnsiTheme="minorHAnsi" w:cstheme="minorHAnsi"/>
          <w:b/>
          <w:sz w:val="22"/>
        </w:rPr>
        <w:t>Table 1: Abidjan-Lagos Project Indicators</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2510"/>
        <w:gridCol w:w="1348"/>
        <w:gridCol w:w="1260"/>
      </w:tblGrid>
      <w:tr w:rsidR="00BC47D3" w:rsidRPr="00B667C4" w14:paraId="6E5803F2" w14:textId="77777777" w:rsidTr="00BF1340">
        <w:trPr>
          <w:trHeight w:val="476"/>
          <w:tblHeader/>
          <w:jc w:val="center"/>
        </w:trPr>
        <w:tc>
          <w:tcPr>
            <w:tcW w:w="223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7A6F3639" w14:textId="77777777" w:rsidR="00BC47D3" w:rsidRPr="00B667C4" w:rsidRDefault="00BC47D3" w:rsidP="003163C6">
            <w:pPr>
              <w:ind w:right="-108"/>
              <w:jc w:val="center"/>
              <w:rPr>
                <w:rFonts w:asciiTheme="minorHAnsi" w:eastAsia="SimSun" w:hAnsiTheme="minorHAnsi" w:cstheme="minorHAnsi"/>
                <w:b/>
                <w:sz w:val="22"/>
                <w:lang w:eastAsia="zh-CN"/>
              </w:rPr>
            </w:pPr>
            <w:r w:rsidRPr="00B667C4">
              <w:rPr>
                <w:rFonts w:asciiTheme="minorHAnsi" w:eastAsia="SimSun" w:hAnsiTheme="minorHAnsi" w:cstheme="minorHAnsi"/>
                <w:b/>
                <w:sz w:val="22"/>
                <w:lang w:eastAsia="zh-CN"/>
              </w:rPr>
              <w:t>Project result indicators</w:t>
            </w:r>
          </w:p>
        </w:tc>
        <w:tc>
          <w:tcPr>
            <w:tcW w:w="1354" w:type="pct"/>
            <w:vMerge w:val="restart"/>
            <w:tcBorders>
              <w:top w:val="single" w:sz="4" w:space="0" w:color="auto"/>
              <w:left w:val="single" w:sz="4" w:space="0" w:color="auto"/>
              <w:right w:val="single" w:sz="4" w:space="0" w:color="auto"/>
            </w:tcBorders>
            <w:shd w:val="clear" w:color="auto" w:fill="F3F3F3"/>
            <w:vAlign w:val="center"/>
          </w:tcPr>
          <w:p w14:paraId="17801222" w14:textId="77777777" w:rsidR="00BC47D3" w:rsidRPr="00B667C4" w:rsidRDefault="00BC47D3" w:rsidP="003163C6">
            <w:pPr>
              <w:jc w:val="center"/>
              <w:rPr>
                <w:rFonts w:asciiTheme="minorHAnsi" w:eastAsia="SimSun" w:hAnsiTheme="minorHAnsi" w:cstheme="minorHAnsi"/>
                <w:b/>
                <w:sz w:val="22"/>
                <w:lang w:eastAsia="zh-CN"/>
              </w:rPr>
            </w:pPr>
            <w:r w:rsidRPr="00B667C4">
              <w:rPr>
                <w:rFonts w:asciiTheme="minorHAnsi" w:eastAsia="SimSun" w:hAnsiTheme="minorHAnsi" w:cstheme="minorHAnsi"/>
                <w:b/>
                <w:sz w:val="22"/>
                <w:lang w:eastAsia="zh-CN"/>
              </w:rPr>
              <w:t>Baseline</w:t>
            </w:r>
          </w:p>
          <w:p w14:paraId="27446BB5" w14:textId="77777777" w:rsidR="00BC47D3" w:rsidRPr="00B667C4" w:rsidRDefault="00BC47D3" w:rsidP="003163C6">
            <w:pPr>
              <w:jc w:val="center"/>
              <w:rPr>
                <w:rFonts w:asciiTheme="minorHAnsi" w:eastAsia="SimSun" w:hAnsiTheme="minorHAnsi" w:cstheme="minorHAnsi"/>
                <w:b/>
                <w:sz w:val="22"/>
                <w:lang w:eastAsia="zh-CN"/>
              </w:rPr>
            </w:pPr>
            <w:r w:rsidRPr="00B667C4">
              <w:rPr>
                <w:rFonts w:asciiTheme="minorHAnsi" w:eastAsia="SimSun" w:hAnsiTheme="minorHAnsi" w:cstheme="minorHAnsi"/>
                <w:b/>
                <w:sz w:val="22"/>
                <w:lang w:eastAsia="zh-CN"/>
              </w:rPr>
              <w:t>(March 2009)</w:t>
            </w:r>
          </w:p>
        </w:tc>
        <w:tc>
          <w:tcPr>
            <w:tcW w:w="727" w:type="pct"/>
            <w:vMerge w:val="restart"/>
            <w:tcBorders>
              <w:top w:val="single" w:sz="4" w:space="0" w:color="auto"/>
              <w:left w:val="single" w:sz="4" w:space="0" w:color="auto"/>
              <w:right w:val="single" w:sz="4" w:space="0" w:color="auto"/>
            </w:tcBorders>
            <w:shd w:val="clear" w:color="auto" w:fill="F3F3F3"/>
          </w:tcPr>
          <w:p w14:paraId="06E4D1EE" w14:textId="2FAC5E8C" w:rsidR="00BC47D3" w:rsidRPr="00B667C4" w:rsidRDefault="00BC47D3" w:rsidP="003163C6">
            <w:pPr>
              <w:jc w:val="center"/>
              <w:rPr>
                <w:rFonts w:asciiTheme="minorHAnsi" w:eastAsia="SimSun" w:hAnsiTheme="minorHAnsi" w:cstheme="minorHAnsi"/>
                <w:b/>
                <w:sz w:val="22"/>
                <w:lang w:eastAsia="zh-CN"/>
              </w:rPr>
            </w:pPr>
            <w:r w:rsidRPr="00B667C4">
              <w:rPr>
                <w:rFonts w:asciiTheme="minorHAnsi" w:eastAsia="SimSun" w:hAnsiTheme="minorHAnsi" w:cstheme="minorHAnsi"/>
                <w:b/>
                <w:sz w:val="22"/>
                <w:lang w:eastAsia="zh-CN"/>
              </w:rPr>
              <w:t>Status as of</w:t>
            </w:r>
            <w:r w:rsidR="00DC7FDD" w:rsidRPr="00B667C4">
              <w:rPr>
                <w:rFonts w:asciiTheme="minorHAnsi" w:eastAsia="SimSun" w:hAnsiTheme="minorHAnsi" w:cstheme="minorHAnsi"/>
                <w:b/>
                <w:sz w:val="22"/>
                <w:lang w:eastAsia="zh-CN"/>
              </w:rPr>
              <w:t xml:space="preserve"> 30 September, 2016</w:t>
            </w:r>
          </w:p>
        </w:tc>
        <w:tc>
          <w:tcPr>
            <w:tcW w:w="680" w:type="pct"/>
            <w:vMerge w:val="restart"/>
            <w:tcBorders>
              <w:top w:val="single" w:sz="4" w:space="0" w:color="auto"/>
              <w:left w:val="single" w:sz="4" w:space="0" w:color="auto"/>
              <w:right w:val="single" w:sz="4" w:space="0" w:color="auto"/>
            </w:tcBorders>
            <w:shd w:val="clear" w:color="auto" w:fill="F3F3F3"/>
          </w:tcPr>
          <w:p w14:paraId="13563C67" w14:textId="77777777" w:rsidR="00BC47D3" w:rsidRPr="00B667C4" w:rsidRDefault="00BC47D3" w:rsidP="003163C6">
            <w:pPr>
              <w:jc w:val="center"/>
              <w:rPr>
                <w:rFonts w:asciiTheme="minorHAnsi" w:eastAsia="SimSun" w:hAnsiTheme="minorHAnsi" w:cstheme="minorHAnsi"/>
                <w:b/>
                <w:sz w:val="22"/>
                <w:lang w:eastAsia="zh-CN"/>
              </w:rPr>
            </w:pPr>
            <w:r w:rsidRPr="00B667C4">
              <w:rPr>
                <w:rFonts w:asciiTheme="minorHAnsi" w:eastAsia="SimSun" w:hAnsiTheme="minorHAnsi" w:cstheme="minorHAnsi"/>
                <w:b/>
                <w:sz w:val="22"/>
                <w:lang w:eastAsia="zh-CN"/>
              </w:rPr>
              <w:t>End project target</w:t>
            </w:r>
          </w:p>
        </w:tc>
      </w:tr>
      <w:tr w:rsidR="00BC47D3" w:rsidRPr="00B667C4" w14:paraId="18660C00" w14:textId="77777777" w:rsidTr="00BF1340">
        <w:trPr>
          <w:trHeight w:val="476"/>
          <w:tblHeader/>
          <w:jc w:val="center"/>
        </w:trPr>
        <w:tc>
          <w:tcPr>
            <w:tcW w:w="2238" w:type="pct"/>
            <w:vMerge/>
            <w:tcBorders>
              <w:top w:val="single" w:sz="4" w:space="0" w:color="auto"/>
              <w:left w:val="single" w:sz="4" w:space="0" w:color="auto"/>
              <w:bottom w:val="single" w:sz="4" w:space="0" w:color="auto"/>
              <w:right w:val="single" w:sz="4" w:space="0" w:color="auto"/>
            </w:tcBorders>
            <w:vAlign w:val="center"/>
            <w:hideMark/>
          </w:tcPr>
          <w:p w14:paraId="419C5486" w14:textId="77777777" w:rsidR="00BC47D3" w:rsidRPr="00B667C4" w:rsidRDefault="00BC47D3" w:rsidP="003163C6">
            <w:pPr>
              <w:rPr>
                <w:rFonts w:asciiTheme="minorHAnsi" w:eastAsia="SimSun" w:hAnsiTheme="minorHAnsi" w:cstheme="minorHAnsi"/>
                <w:b/>
                <w:sz w:val="22"/>
                <w:lang w:eastAsia="zh-CN"/>
              </w:rPr>
            </w:pPr>
          </w:p>
        </w:tc>
        <w:tc>
          <w:tcPr>
            <w:tcW w:w="1354" w:type="pct"/>
            <w:vMerge/>
            <w:tcBorders>
              <w:left w:val="single" w:sz="4" w:space="0" w:color="auto"/>
              <w:bottom w:val="single" w:sz="4" w:space="0" w:color="auto"/>
              <w:right w:val="single" w:sz="4" w:space="0" w:color="auto"/>
            </w:tcBorders>
            <w:vAlign w:val="center"/>
          </w:tcPr>
          <w:p w14:paraId="25636B07" w14:textId="77777777" w:rsidR="00BC47D3" w:rsidRPr="00B667C4" w:rsidRDefault="00BC47D3" w:rsidP="003163C6">
            <w:pPr>
              <w:rPr>
                <w:rFonts w:asciiTheme="minorHAnsi" w:eastAsia="SimSun" w:hAnsiTheme="minorHAnsi" w:cstheme="minorHAnsi"/>
                <w:b/>
                <w:sz w:val="22"/>
                <w:lang w:eastAsia="zh-CN"/>
              </w:rPr>
            </w:pPr>
          </w:p>
        </w:tc>
        <w:tc>
          <w:tcPr>
            <w:tcW w:w="727" w:type="pct"/>
            <w:vMerge/>
            <w:tcBorders>
              <w:left w:val="single" w:sz="4" w:space="0" w:color="auto"/>
              <w:bottom w:val="single" w:sz="4" w:space="0" w:color="auto"/>
              <w:right w:val="single" w:sz="4" w:space="0" w:color="auto"/>
            </w:tcBorders>
          </w:tcPr>
          <w:p w14:paraId="720DB6EB" w14:textId="77777777" w:rsidR="00BC47D3" w:rsidRPr="00B667C4" w:rsidRDefault="00BC47D3" w:rsidP="003163C6">
            <w:pPr>
              <w:rPr>
                <w:rFonts w:asciiTheme="minorHAnsi" w:eastAsia="SimSun" w:hAnsiTheme="minorHAnsi" w:cstheme="minorHAnsi"/>
                <w:b/>
                <w:sz w:val="22"/>
                <w:lang w:eastAsia="zh-CN"/>
              </w:rPr>
            </w:pPr>
          </w:p>
        </w:tc>
        <w:tc>
          <w:tcPr>
            <w:tcW w:w="680" w:type="pct"/>
            <w:vMerge/>
            <w:tcBorders>
              <w:left w:val="single" w:sz="4" w:space="0" w:color="auto"/>
              <w:bottom w:val="single" w:sz="4" w:space="0" w:color="auto"/>
              <w:right w:val="single" w:sz="4" w:space="0" w:color="auto"/>
            </w:tcBorders>
          </w:tcPr>
          <w:p w14:paraId="132F4B3D" w14:textId="77777777" w:rsidR="00BC47D3" w:rsidRPr="00B667C4" w:rsidRDefault="00BC47D3" w:rsidP="003163C6">
            <w:pPr>
              <w:rPr>
                <w:rFonts w:asciiTheme="minorHAnsi" w:eastAsia="SimSun" w:hAnsiTheme="minorHAnsi" w:cstheme="minorHAnsi"/>
                <w:b/>
                <w:sz w:val="22"/>
                <w:lang w:eastAsia="zh-CN"/>
              </w:rPr>
            </w:pPr>
          </w:p>
        </w:tc>
      </w:tr>
      <w:tr w:rsidR="00BC47D3" w:rsidRPr="00B667C4" w14:paraId="098F8132" w14:textId="77777777" w:rsidTr="00BF1340">
        <w:trPr>
          <w:trHeight w:val="305"/>
          <w:jc w:val="center"/>
        </w:trPr>
        <w:tc>
          <w:tcPr>
            <w:tcW w:w="2238" w:type="pct"/>
            <w:tcBorders>
              <w:top w:val="single" w:sz="4" w:space="0" w:color="auto"/>
              <w:left w:val="single" w:sz="4" w:space="0" w:color="auto"/>
              <w:bottom w:val="single" w:sz="4" w:space="0" w:color="auto"/>
              <w:right w:val="single" w:sz="4" w:space="0" w:color="auto"/>
            </w:tcBorders>
          </w:tcPr>
          <w:p w14:paraId="1DE70F41"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Dwell time at Abidjan Port (Cote d’Ivoire)</w:t>
            </w:r>
          </w:p>
        </w:tc>
        <w:tc>
          <w:tcPr>
            <w:tcW w:w="1354" w:type="pct"/>
            <w:tcBorders>
              <w:top w:val="single" w:sz="4" w:space="0" w:color="auto"/>
              <w:left w:val="single" w:sz="4" w:space="0" w:color="auto"/>
              <w:bottom w:val="single" w:sz="4" w:space="0" w:color="auto"/>
              <w:right w:val="single" w:sz="4" w:space="0" w:color="auto"/>
            </w:tcBorders>
          </w:tcPr>
          <w:p w14:paraId="4440ED61"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21 days (ref. May 2011)</w:t>
            </w:r>
          </w:p>
        </w:tc>
        <w:tc>
          <w:tcPr>
            <w:tcW w:w="727" w:type="pct"/>
            <w:tcBorders>
              <w:top w:val="single" w:sz="4" w:space="0" w:color="auto"/>
              <w:left w:val="single" w:sz="4" w:space="0" w:color="auto"/>
              <w:bottom w:val="single" w:sz="4" w:space="0" w:color="auto"/>
              <w:right w:val="single" w:sz="4" w:space="0" w:color="auto"/>
            </w:tcBorders>
          </w:tcPr>
          <w:p w14:paraId="09DF87FF" w14:textId="280F173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w:t>
            </w:r>
            <w:r w:rsidR="009F1B4C" w:rsidRPr="00B667C4">
              <w:rPr>
                <w:rFonts w:asciiTheme="minorHAnsi" w:eastAsia="SimSun" w:hAnsiTheme="minorHAnsi" w:cstheme="minorHAnsi"/>
                <w:sz w:val="22"/>
                <w:lang w:eastAsia="zh-CN"/>
              </w:rPr>
              <w:t>1</w:t>
            </w:r>
            <w:r w:rsidRPr="00B667C4">
              <w:rPr>
                <w:rFonts w:asciiTheme="minorHAnsi" w:eastAsia="SimSun" w:hAnsiTheme="minorHAnsi" w:cstheme="minorHAnsi"/>
                <w:sz w:val="22"/>
                <w:lang w:eastAsia="zh-CN"/>
              </w:rPr>
              <w:t xml:space="preserve"> days</w:t>
            </w:r>
          </w:p>
        </w:tc>
        <w:tc>
          <w:tcPr>
            <w:tcW w:w="680" w:type="pct"/>
            <w:tcBorders>
              <w:top w:val="single" w:sz="4" w:space="0" w:color="auto"/>
              <w:left w:val="single" w:sz="4" w:space="0" w:color="auto"/>
              <w:bottom w:val="single" w:sz="4" w:space="0" w:color="auto"/>
              <w:right w:val="single" w:sz="4" w:space="0" w:color="auto"/>
            </w:tcBorders>
          </w:tcPr>
          <w:p w14:paraId="5F70E860"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16.8 days</w:t>
            </w:r>
          </w:p>
        </w:tc>
      </w:tr>
      <w:tr w:rsidR="00BC47D3" w:rsidRPr="00B667C4" w14:paraId="7D4BEDD1" w14:textId="77777777" w:rsidTr="00BF1340">
        <w:trPr>
          <w:trHeight w:val="307"/>
          <w:jc w:val="center"/>
        </w:trPr>
        <w:tc>
          <w:tcPr>
            <w:tcW w:w="2238" w:type="pct"/>
            <w:tcBorders>
              <w:top w:val="single" w:sz="4" w:space="0" w:color="auto"/>
              <w:left w:val="single" w:sz="4" w:space="0" w:color="auto"/>
              <w:bottom w:val="single" w:sz="4" w:space="0" w:color="auto"/>
              <w:right w:val="single" w:sz="4" w:space="0" w:color="auto"/>
            </w:tcBorders>
          </w:tcPr>
          <w:p w14:paraId="615C183B"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Dwell time at Tema Port (Ghana)</w:t>
            </w:r>
          </w:p>
        </w:tc>
        <w:tc>
          <w:tcPr>
            <w:tcW w:w="1354" w:type="pct"/>
            <w:tcBorders>
              <w:top w:val="single" w:sz="4" w:space="0" w:color="auto"/>
              <w:left w:val="single" w:sz="4" w:space="0" w:color="auto"/>
              <w:bottom w:val="single" w:sz="4" w:space="0" w:color="auto"/>
              <w:right w:val="single" w:sz="4" w:space="0" w:color="auto"/>
            </w:tcBorders>
          </w:tcPr>
          <w:p w14:paraId="251A6AB3"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w:t>
            </w:r>
          </w:p>
        </w:tc>
        <w:tc>
          <w:tcPr>
            <w:tcW w:w="727" w:type="pct"/>
            <w:tcBorders>
              <w:top w:val="single" w:sz="4" w:space="0" w:color="auto"/>
              <w:left w:val="single" w:sz="4" w:space="0" w:color="auto"/>
              <w:bottom w:val="single" w:sz="4" w:space="0" w:color="auto"/>
              <w:right w:val="single" w:sz="4" w:space="0" w:color="auto"/>
            </w:tcBorders>
          </w:tcPr>
          <w:p w14:paraId="017C11A6" w14:textId="65FA4E7A"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15</w:t>
            </w:r>
            <w:r w:rsidR="00BC47D3" w:rsidRPr="00B667C4">
              <w:rPr>
                <w:rFonts w:asciiTheme="minorHAnsi" w:eastAsia="SimSun" w:hAnsiTheme="minorHAnsi" w:cstheme="minorHAnsi"/>
                <w:sz w:val="22"/>
                <w:lang w:eastAsia="zh-CN"/>
              </w:rPr>
              <w:t xml:space="preserve"> days</w:t>
            </w:r>
          </w:p>
        </w:tc>
        <w:tc>
          <w:tcPr>
            <w:tcW w:w="680" w:type="pct"/>
            <w:tcBorders>
              <w:top w:val="single" w:sz="4" w:space="0" w:color="auto"/>
              <w:left w:val="single" w:sz="4" w:space="0" w:color="auto"/>
              <w:bottom w:val="single" w:sz="4" w:space="0" w:color="auto"/>
              <w:right w:val="single" w:sz="4" w:space="0" w:color="auto"/>
            </w:tcBorders>
          </w:tcPr>
          <w:p w14:paraId="0FBDBEC3"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w:t>
            </w:r>
          </w:p>
        </w:tc>
      </w:tr>
      <w:tr w:rsidR="00BC47D3" w:rsidRPr="00B667C4" w14:paraId="29CC62ED"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tcPr>
          <w:p w14:paraId="64EF725B"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 xml:space="preserve">Dwell time at Lome Port (Togo) </w:t>
            </w:r>
          </w:p>
        </w:tc>
        <w:tc>
          <w:tcPr>
            <w:tcW w:w="1354" w:type="pct"/>
            <w:tcBorders>
              <w:top w:val="single" w:sz="4" w:space="0" w:color="auto"/>
              <w:left w:val="single" w:sz="4" w:space="0" w:color="auto"/>
              <w:bottom w:val="single" w:sz="4" w:space="0" w:color="auto"/>
              <w:right w:val="single" w:sz="4" w:space="0" w:color="auto"/>
            </w:tcBorders>
          </w:tcPr>
          <w:p w14:paraId="51030638"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18 days</w:t>
            </w:r>
          </w:p>
        </w:tc>
        <w:tc>
          <w:tcPr>
            <w:tcW w:w="727" w:type="pct"/>
            <w:tcBorders>
              <w:top w:val="single" w:sz="4" w:space="0" w:color="auto"/>
              <w:left w:val="single" w:sz="4" w:space="0" w:color="auto"/>
              <w:bottom w:val="single" w:sz="4" w:space="0" w:color="auto"/>
              <w:right w:val="single" w:sz="4" w:space="0" w:color="auto"/>
            </w:tcBorders>
          </w:tcPr>
          <w:p w14:paraId="7C12612A"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12 days</w:t>
            </w:r>
          </w:p>
        </w:tc>
        <w:tc>
          <w:tcPr>
            <w:tcW w:w="680" w:type="pct"/>
            <w:tcBorders>
              <w:top w:val="single" w:sz="4" w:space="0" w:color="auto"/>
              <w:left w:val="single" w:sz="4" w:space="0" w:color="auto"/>
              <w:bottom w:val="single" w:sz="4" w:space="0" w:color="auto"/>
              <w:right w:val="single" w:sz="4" w:space="0" w:color="auto"/>
            </w:tcBorders>
          </w:tcPr>
          <w:p w14:paraId="68268BC1"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 xml:space="preserve">14.5 days </w:t>
            </w:r>
          </w:p>
        </w:tc>
      </w:tr>
      <w:tr w:rsidR="00BC47D3" w:rsidRPr="00B667C4" w14:paraId="03BB857A"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20FBE296"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Dwell time at Cotonou Port (Benin)</w:t>
            </w:r>
          </w:p>
        </w:tc>
        <w:tc>
          <w:tcPr>
            <w:tcW w:w="1354" w:type="pct"/>
            <w:tcBorders>
              <w:top w:val="single" w:sz="4" w:space="0" w:color="auto"/>
              <w:left w:val="single" w:sz="4" w:space="0" w:color="auto"/>
              <w:bottom w:val="single" w:sz="4" w:space="0" w:color="auto"/>
              <w:right w:val="single" w:sz="4" w:space="0" w:color="auto"/>
            </w:tcBorders>
          </w:tcPr>
          <w:p w14:paraId="7A3048B7"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19 days</w:t>
            </w:r>
          </w:p>
        </w:tc>
        <w:tc>
          <w:tcPr>
            <w:tcW w:w="727" w:type="pct"/>
            <w:tcBorders>
              <w:top w:val="single" w:sz="4" w:space="0" w:color="auto"/>
              <w:left w:val="single" w:sz="4" w:space="0" w:color="auto"/>
              <w:bottom w:val="single" w:sz="4" w:space="0" w:color="auto"/>
              <w:right w:val="single" w:sz="4" w:space="0" w:color="auto"/>
            </w:tcBorders>
          </w:tcPr>
          <w:p w14:paraId="29628579" w14:textId="4EA192AF"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w:t>
            </w:r>
            <w:r w:rsidR="009F1B4C" w:rsidRPr="00B667C4">
              <w:rPr>
                <w:rFonts w:asciiTheme="minorHAnsi" w:eastAsia="SimSun" w:hAnsiTheme="minorHAnsi" w:cstheme="minorHAnsi"/>
                <w:sz w:val="22"/>
                <w:lang w:eastAsia="zh-CN"/>
              </w:rPr>
              <w:t>4.5</w:t>
            </w:r>
            <w:r w:rsidRPr="00B667C4">
              <w:rPr>
                <w:rFonts w:asciiTheme="minorHAnsi" w:eastAsia="SimSun" w:hAnsiTheme="minorHAnsi" w:cstheme="minorHAnsi"/>
                <w:sz w:val="22"/>
                <w:lang w:eastAsia="zh-CN"/>
              </w:rPr>
              <w:t xml:space="preserve"> days </w:t>
            </w:r>
          </w:p>
        </w:tc>
        <w:tc>
          <w:tcPr>
            <w:tcW w:w="680" w:type="pct"/>
            <w:tcBorders>
              <w:top w:val="single" w:sz="4" w:space="0" w:color="auto"/>
              <w:left w:val="single" w:sz="4" w:space="0" w:color="auto"/>
              <w:bottom w:val="single" w:sz="4" w:space="0" w:color="auto"/>
              <w:right w:val="single" w:sz="4" w:space="0" w:color="auto"/>
            </w:tcBorders>
          </w:tcPr>
          <w:p w14:paraId="43A74980"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15 days</w:t>
            </w:r>
          </w:p>
        </w:tc>
      </w:tr>
      <w:tr w:rsidR="00BC47D3" w:rsidRPr="00B667C4" w14:paraId="03FA4160"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4BFC41DB"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Dwell time at Apapa Port (Nigeria)</w:t>
            </w:r>
          </w:p>
        </w:tc>
        <w:tc>
          <w:tcPr>
            <w:tcW w:w="1354" w:type="pct"/>
            <w:tcBorders>
              <w:top w:val="single" w:sz="4" w:space="0" w:color="auto"/>
              <w:left w:val="single" w:sz="4" w:space="0" w:color="auto"/>
              <w:bottom w:val="single" w:sz="4" w:space="0" w:color="auto"/>
              <w:right w:val="single" w:sz="4" w:space="0" w:color="auto"/>
            </w:tcBorders>
          </w:tcPr>
          <w:p w14:paraId="277752AA"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20 days</w:t>
            </w:r>
          </w:p>
        </w:tc>
        <w:tc>
          <w:tcPr>
            <w:tcW w:w="727" w:type="pct"/>
            <w:tcBorders>
              <w:top w:val="single" w:sz="4" w:space="0" w:color="auto"/>
              <w:left w:val="single" w:sz="4" w:space="0" w:color="auto"/>
              <w:bottom w:val="single" w:sz="4" w:space="0" w:color="auto"/>
              <w:right w:val="single" w:sz="4" w:space="0" w:color="auto"/>
            </w:tcBorders>
          </w:tcPr>
          <w:p w14:paraId="27AB1103" w14:textId="278520C9"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2</w:t>
            </w:r>
            <w:r w:rsidR="009F1B4C" w:rsidRPr="00B667C4">
              <w:rPr>
                <w:rFonts w:asciiTheme="minorHAnsi" w:eastAsia="SimSun" w:hAnsiTheme="minorHAnsi" w:cstheme="minorHAnsi"/>
                <w:sz w:val="22"/>
                <w:lang w:eastAsia="zh-CN"/>
              </w:rPr>
              <w:t>2</w:t>
            </w:r>
            <w:r w:rsidRPr="00B667C4">
              <w:rPr>
                <w:rFonts w:asciiTheme="minorHAnsi" w:eastAsia="SimSun" w:hAnsiTheme="minorHAnsi" w:cstheme="minorHAnsi"/>
                <w:sz w:val="22"/>
                <w:lang w:eastAsia="zh-CN"/>
              </w:rPr>
              <w:t xml:space="preserve"> days</w:t>
            </w:r>
          </w:p>
        </w:tc>
        <w:tc>
          <w:tcPr>
            <w:tcW w:w="680" w:type="pct"/>
            <w:tcBorders>
              <w:top w:val="single" w:sz="4" w:space="0" w:color="auto"/>
              <w:left w:val="single" w:sz="4" w:space="0" w:color="auto"/>
              <w:bottom w:val="single" w:sz="4" w:space="0" w:color="auto"/>
              <w:right w:val="single" w:sz="4" w:space="0" w:color="auto"/>
            </w:tcBorders>
          </w:tcPr>
          <w:p w14:paraId="68B85DFA"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w:t>
            </w:r>
          </w:p>
        </w:tc>
      </w:tr>
      <w:tr w:rsidR="00BC47D3" w:rsidRPr="00B667C4" w14:paraId="15DBAB9D"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32AAB586"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Elubo (Ghana) to Noe (Cote d’Ivoire)</w:t>
            </w:r>
          </w:p>
        </w:tc>
        <w:tc>
          <w:tcPr>
            <w:tcW w:w="1354" w:type="pct"/>
            <w:tcBorders>
              <w:top w:val="single" w:sz="4" w:space="0" w:color="auto"/>
              <w:left w:val="single" w:sz="4" w:space="0" w:color="auto"/>
              <w:bottom w:val="single" w:sz="4" w:space="0" w:color="auto"/>
              <w:right w:val="single" w:sz="4" w:space="0" w:color="auto"/>
            </w:tcBorders>
          </w:tcPr>
          <w:p w14:paraId="5A02B19E" w14:textId="60A2288D" w:rsidR="00BC47D3" w:rsidRPr="00B667C4" w:rsidRDefault="002F6DB3" w:rsidP="003163C6">
            <w:pPr>
              <w:rPr>
                <w:rFonts w:asciiTheme="minorHAnsi" w:hAnsiTheme="minorHAnsi" w:cstheme="minorHAnsi"/>
                <w:sz w:val="22"/>
                <w:lang w:eastAsia="zh-CN"/>
              </w:rPr>
            </w:pPr>
            <w:r w:rsidRPr="00B667C4">
              <w:rPr>
                <w:rFonts w:asciiTheme="minorHAnsi" w:hAnsiTheme="minorHAnsi" w:cstheme="minorHAnsi"/>
                <w:sz w:val="22"/>
                <w:lang w:eastAsia="zh-CN"/>
              </w:rPr>
              <w:t>Noe:</w:t>
            </w:r>
            <w:r w:rsidR="00BC47D3" w:rsidRPr="00B667C4">
              <w:rPr>
                <w:rFonts w:asciiTheme="minorHAnsi" w:hAnsiTheme="minorHAnsi" w:cstheme="minorHAnsi"/>
                <w:sz w:val="22"/>
                <w:lang w:eastAsia="zh-CN"/>
              </w:rPr>
              <w:t xml:space="preserve"> 37 hours</w:t>
            </w:r>
          </w:p>
          <w:p w14:paraId="3464CF5E" w14:textId="77777777"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(ref. May 2011)</w:t>
            </w:r>
          </w:p>
        </w:tc>
        <w:tc>
          <w:tcPr>
            <w:tcW w:w="727" w:type="pct"/>
            <w:tcBorders>
              <w:top w:val="single" w:sz="4" w:space="0" w:color="auto"/>
              <w:left w:val="single" w:sz="4" w:space="0" w:color="auto"/>
              <w:bottom w:val="single" w:sz="4" w:space="0" w:color="auto"/>
              <w:right w:val="single" w:sz="4" w:space="0" w:color="auto"/>
            </w:tcBorders>
          </w:tcPr>
          <w:p w14:paraId="1A74223E" w14:textId="3947975C"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11</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745256DF"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29.6h</w:t>
            </w:r>
          </w:p>
        </w:tc>
      </w:tr>
      <w:tr w:rsidR="00BC47D3" w:rsidRPr="00B667C4" w14:paraId="77C7354B"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27537097"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Noe (Cote d’Ivoire) to Elubo (Ghana)</w:t>
            </w:r>
          </w:p>
        </w:tc>
        <w:tc>
          <w:tcPr>
            <w:tcW w:w="1354" w:type="pct"/>
            <w:tcBorders>
              <w:top w:val="single" w:sz="4" w:space="0" w:color="auto"/>
              <w:left w:val="single" w:sz="4" w:space="0" w:color="auto"/>
              <w:bottom w:val="single" w:sz="4" w:space="0" w:color="auto"/>
              <w:right w:val="single" w:sz="4" w:space="0" w:color="auto"/>
            </w:tcBorders>
          </w:tcPr>
          <w:p w14:paraId="4713206E" w14:textId="0A4560E1"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Elubo: 24 hours</w:t>
            </w:r>
          </w:p>
        </w:tc>
        <w:tc>
          <w:tcPr>
            <w:tcW w:w="727" w:type="pct"/>
            <w:tcBorders>
              <w:top w:val="single" w:sz="4" w:space="0" w:color="auto"/>
              <w:left w:val="single" w:sz="4" w:space="0" w:color="auto"/>
              <w:bottom w:val="single" w:sz="4" w:space="0" w:color="auto"/>
              <w:right w:val="single" w:sz="4" w:space="0" w:color="auto"/>
            </w:tcBorders>
          </w:tcPr>
          <w:p w14:paraId="43CFF20E"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34h</w:t>
            </w:r>
          </w:p>
        </w:tc>
        <w:tc>
          <w:tcPr>
            <w:tcW w:w="680" w:type="pct"/>
            <w:tcBorders>
              <w:top w:val="single" w:sz="4" w:space="0" w:color="auto"/>
              <w:left w:val="single" w:sz="4" w:space="0" w:color="auto"/>
              <w:bottom w:val="single" w:sz="4" w:space="0" w:color="auto"/>
              <w:right w:val="single" w:sz="4" w:space="0" w:color="auto"/>
            </w:tcBorders>
          </w:tcPr>
          <w:p w14:paraId="1B85D19D"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19h</w:t>
            </w:r>
          </w:p>
        </w:tc>
      </w:tr>
      <w:tr w:rsidR="00BC47D3" w:rsidRPr="00B667C4" w14:paraId="2949D412"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30548678" w14:textId="0A2EF4B8"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w:t>
            </w:r>
            <w:r w:rsidR="0030462C" w:rsidRPr="00B667C4">
              <w:rPr>
                <w:rFonts w:asciiTheme="minorHAnsi" w:eastAsia="SimSun" w:hAnsiTheme="minorHAnsi" w:cstheme="minorHAnsi"/>
                <w:sz w:val="22"/>
                <w:lang w:eastAsia="zh-CN"/>
              </w:rPr>
              <w:t>ossing the border from KodjoviN</w:t>
            </w:r>
            <w:r w:rsidRPr="00B667C4">
              <w:rPr>
                <w:rFonts w:asciiTheme="minorHAnsi" w:eastAsia="SimSun" w:hAnsiTheme="minorHAnsi" w:cstheme="minorHAnsi"/>
                <w:sz w:val="22"/>
                <w:lang w:eastAsia="zh-CN"/>
              </w:rPr>
              <w:t>o</w:t>
            </w:r>
            <w:r w:rsidR="0030462C" w:rsidRPr="00B667C4">
              <w:rPr>
                <w:rFonts w:asciiTheme="minorHAnsi" w:eastAsia="SimSun" w:hAnsiTheme="minorHAnsi" w:cstheme="minorHAnsi"/>
                <w:sz w:val="22"/>
                <w:lang w:eastAsia="zh-CN"/>
              </w:rPr>
              <w:t>e</w:t>
            </w:r>
            <w:r w:rsidRPr="00B667C4">
              <w:rPr>
                <w:rFonts w:asciiTheme="minorHAnsi" w:eastAsia="SimSun" w:hAnsiTheme="minorHAnsi" w:cstheme="minorHAnsi"/>
                <w:sz w:val="22"/>
                <w:lang w:eastAsia="zh-CN"/>
              </w:rPr>
              <w:t>pe (Togo) to Aflao (Ghana)</w:t>
            </w:r>
          </w:p>
        </w:tc>
        <w:tc>
          <w:tcPr>
            <w:tcW w:w="1354" w:type="pct"/>
            <w:tcBorders>
              <w:top w:val="single" w:sz="4" w:space="0" w:color="auto"/>
              <w:left w:val="single" w:sz="4" w:space="0" w:color="auto"/>
              <w:bottom w:val="single" w:sz="4" w:space="0" w:color="auto"/>
              <w:right w:val="single" w:sz="4" w:space="0" w:color="auto"/>
            </w:tcBorders>
          </w:tcPr>
          <w:p w14:paraId="35B7659D" w14:textId="20F48E05" w:rsidR="00BC47D3" w:rsidRPr="00B667C4" w:rsidRDefault="009171A7" w:rsidP="003163C6">
            <w:pPr>
              <w:rPr>
                <w:rFonts w:asciiTheme="minorHAnsi" w:hAnsiTheme="minorHAnsi" w:cstheme="minorHAnsi"/>
                <w:i/>
                <w:sz w:val="22"/>
                <w:lang w:eastAsia="zh-CN"/>
              </w:rPr>
            </w:pPr>
            <w:r w:rsidRPr="00B667C4">
              <w:rPr>
                <w:rFonts w:asciiTheme="minorHAnsi" w:hAnsiTheme="minorHAnsi" w:cstheme="minorHAnsi"/>
                <w:sz w:val="22"/>
                <w:lang w:eastAsia="zh-CN"/>
              </w:rPr>
              <w:t>Aflao</w:t>
            </w:r>
            <w:r w:rsidR="00BC47D3" w:rsidRPr="00B667C4">
              <w:rPr>
                <w:rFonts w:asciiTheme="minorHAnsi" w:hAnsiTheme="minorHAnsi" w:cstheme="minorHAnsi"/>
                <w:sz w:val="22"/>
                <w:lang w:eastAsia="zh-CN"/>
              </w:rPr>
              <w:t>: 24 hours</w:t>
            </w:r>
          </w:p>
        </w:tc>
        <w:tc>
          <w:tcPr>
            <w:tcW w:w="727" w:type="pct"/>
            <w:tcBorders>
              <w:top w:val="single" w:sz="4" w:space="0" w:color="auto"/>
              <w:left w:val="single" w:sz="4" w:space="0" w:color="auto"/>
              <w:bottom w:val="single" w:sz="4" w:space="0" w:color="auto"/>
              <w:right w:val="single" w:sz="4" w:space="0" w:color="auto"/>
            </w:tcBorders>
          </w:tcPr>
          <w:p w14:paraId="57C1FE77" w14:textId="0A86842F"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11</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484C118B"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19h</w:t>
            </w:r>
          </w:p>
        </w:tc>
      </w:tr>
      <w:tr w:rsidR="00BC47D3" w:rsidRPr="00B667C4" w14:paraId="4F83D1B2"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10597076"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Aflao (Ghana) to Kodjoviakope (Togo)</w:t>
            </w:r>
          </w:p>
        </w:tc>
        <w:tc>
          <w:tcPr>
            <w:tcW w:w="1354" w:type="pct"/>
            <w:tcBorders>
              <w:top w:val="single" w:sz="4" w:space="0" w:color="auto"/>
              <w:left w:val="single" w:sz="4" w:space="0" w:color="auto"/>
              <w:bottom w:val="single" w:sz="4" w:space="0" w:color="auto"/>
              <w:right w:val="single" w:sz="4" w:space="0" w:color="auto"/>
            </w:tcBorders>
          </w:tcPr>
          <w:p w14:paraId="523C2201" w14:textId="72E4D591" w:rsidR="00BC47D3" w:rsidRPr="00B667C4" w:rsidRDefault="009171A7" w:rsidP="003163C6">
            <w:pPr>
              <w:rPr>
                <w:rFonts w:asciiTheme="minorHAnsi" w:hAnsiTheme="minorHAnsi" w:cstheme="minorHAnsi"/>
                <w:i/>
                <w:sz w:val="22"/>
                <w:lang w:eastAsia="zh-CN"/>
              </w:rPr>
            </w:pPr>
            <w:r w:rsidRPr="00B667C4">
              <w:rPr>
                <w:rFonts w:asciiTheme="minorHAnsi" w:hAnsiTheme="minorHAnsi" w:cstheme="minorHAnsi"/>
                <w:sz w:val="22"/>
                <w:lang w:eastAsia="zh-CN"/>
              </w:rPr>
              <w:t>Kodjoviakope</w:t>
            </w:r>
            <w:r w:rsidR="00BC47D3" w:rsidRPr="00B667C4">
              <w:rPr>
                <w:rFonts w:asciiTheme="minorHAnsi" w:hAnsiTheme="minorHAnsi" w:cstheme="minorHAnsi"/>
                <w:sz w:val="22"/>
                <w:lang w:eastAsia="zh-CN"/>
              </w:rPr>
              <w:t>: 24 hours</w:t>
            </w:r>
          </w:p>
        </w:tc>
        <w:tc>
          <w:tcPr>
            <w:tcW w:w="727" w:type="pct"/>
            <w:tcBorders>
              <w:top w:val="single" w:sz="4" w:space="0" w:color="auto"/>
              <w:left w:val="single" w:sz="4" w:space="0" w:color="auto"/>
              <w:bottom w:val="single" w:sz="4" w:space="0" w:color="auto"/>
              <w:right w:val="single" w:sz="4" w:space="0" w:color="auto"/>
            </w:tcBorders>
          </w:tcPr>
          <w:p w14:paraId="67F1509C" w14:textId="6589B7CB"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13</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2FAE5F1E"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19h</w:t>
            </w:r>
          </w:p>
        </w:tc>
      </w:tr>
      <w:tr w:rsidR="00BC47D3" w:rsidRPr="00B667C4" w14:paraId="41BC2984"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0F1084AA"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Hillacondji (Benin) to Sanvee Condji (Togo)</w:t>
            </w:r>
          </w:p>
        </w:tc>
        <w:tc>
          <w:tcPr>
            <w:tcW w:w="1354" w:type="pct"/>
            <w:tcBorders>
              <w:top w:val="single" w:sz="4" w:space="0" w:color="auto"/>
              <w:left w:val="single" w:sz="4" w:space="0" w:color="auto"/>
              <w:bottom w:val="single" w:sz="4" w:space="0" w:color="auto"/>
              <w:right w:val="single" w:sz="4" w:space="0" w:color="auto"/>
            </w:tcBorders>
          </w:tcPr>
          <w:p w14:paraId="07BE2FEC" w14:textId="688AC5F5" w:rsidR="00BC47D3" w:rsidRPr="00B667C4" w:rsidRDefault="009171A7" w:rsidP="003163C6">
            <w:pPr>
              <w:rPr>
                <w:rFonts w:asciiTheme="minorHAnsi" w:hAnsiTheme="minorHAnsi" w:cstheme="minorHAnsi"/>
                <w:i/>
                <w:sz w:val="22"/>
                <w:lang w:eastAsia="zh-CN"/>
              </w:rPr>
            </w:pPr>
            <w:r w:rsidRPr="00B667C4">
              <w:rPr>
                <w:rFonts w:asciiTheme="minorHAnsi" w:hAnsiTheme="minorHAnsi" w:cstheme="minorHAnsi"/>
                <w:sz w:val="22"/>
                <w:lang w:eastAsia="zh-CN"/>
              </w:rPr>
              <w:t>Sanvee Condji</w:t>
            </w:r>
            <w:r w:rsidR="00BC47D3" w:rsidRPr="00B667C4">
              <w:rPr>
                <w:rFonts w:asciiTheme="minorHAnsi" w:hAnsiTheme="minorHAnsi" w:cstheme="minorHAnsi"/>
                <w:sz w:val="22"/>
                <w:lang w:eastAsia="zh-CN"/>
              </w:rPr>
              <w:t>: 24 hours</w:t>
            </w:r>
          </w:p>
        </w:tc>
        <w:tc>
          <w:tcPr>
            <w:tcW w:w="727" w:type="pct"/>
            <w:tcBorders>
              <w:top w:val="single" w:sz="4" w:space="0" w:color="auto"/>
              <w:left w:val="single" w:sz="4" w:space="0" w:color="auto"/>
              <w:bottom w:val="single" w:sz="4" w:space="0" w:color="auto"/>
              <w:right w:val="single" w:sz="4" w:space="0" w:color="auto"/>
            </w:tcBorders>
          </w:tcPr>
          <w:p w14:paraId="2641331F" w14:textId="6F5CD3D7"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5</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2E53038E"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19h</w:t>
            </w:r>
          </w:p>
        </w:tc>
      </w:tr>
      <w:tr w:rsidR="00BC47D3" w:rsidRPr="00B667C4" w14:paraId="31A43B89"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6A917901"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Sanvee Condji (Togo) to Hillacondji (Benin)</w:t>
            </w:r>
          </w:p>
        </w:tc>
        <w:tc>
          <w:tcPr>
            <w:tcW w:w="1354" w:type="pct"/>
            <w:tcBorders>
              <w:top w:val="single" w:sz="4" w:space="0" w:color="auto"/>
              <w:left w:val="single" w:sz="4" w:space="0" w:color="auto"/>
              <w:bottom w:val="single" w:sz="4" w:space="0" w:color="auto"/>
              <w:right w:val="single" w:sz="4" w:space="0" w:color="auto"/>
            </w:tcBorders>
          </w:tcPr>
          <w:p w14:paraId="69DC0336" w14:textId="087E58D2" w:rsidR="00BC47D3" w:rsidRPr="00B667C4" w:rsidRDefault="009171A7" w:rsidP="003163C6">
            <w:pPr>
              <w:rPr>
                <w:rFonts w:asciiTheme="minorHAnsi" w:hAnsiTheme="minorHAnsi" w:cstheme="minorHAnsi"/>
                <w:i/>
                <w:sz w:val="22"/>
                <w:lang w:eastAsia="zh-CN"/>
              </w:rPr>
            </w:pPr>
            <w:r w:rsidRPr="00B667C4">
              <w:rPr>
                <w:rFonts w:asciiTheme="minorHAnsi" w:hAnsiTheme="minorHAnsi" w:cstheme="minorHAnsi"/>
                <w:sz w:val="22"/>
                <w:lang w:eastAsia="zh-CN"/>
              </w:rPr>
              <w:t>Hillacondji</w:t>
            </w:r>
            <w:r w:rsidR="00BC47D3" w:rsidRPr="00B667C4">
              <w:rPr>
                <w:rFonts w:asciiTheme="minorHAnsi" w:hAnsiTheme="minorHAnsi" w:cstheme="minorHAnsi"/>
                <w:sz w:val="22"/>
                <w:lang w:eastAsia="zh-CN"/>
              </w:rPr>
              <w:t>: 24 hours</w:t>
            </w:r>
          </w:p>
        </w:tc>
        <w:tc>
          <w:tcPr>
            <w:tcW w:w="727" w:type="pct"/>
            <w:tcBorders>
              <w:top w:val="single" w:sz="4" w:space="0" w:color="auto"/>
              <w:left w:val="single" w:sz="4" w:space="0" w:color="auto"/>
              <w:bottom w:val="single" w:sz="4" w:space="0" w:color="auto"/>
              <w:right w:val="single" w:sz="4" w:space="0" w:color="auto"/>
            </w:tcBorders>
          </w:tcPr>
          <w:p w14:paraId="38742561" w14:textId="5737CAED"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20</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5ACAD041"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19h</w:t>
            </w:r>
          </w:p>
        </w:tc>
      </w:tr>
      <w:tr w:rsidR="00BC47D3" w:rsidRPr="00B667C4" w14:paraId="6F33B665"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048CBC28"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Seme (Nigeria) to Krake (Benin)</w:t>
            </w:r>
          </w:p>
        </w:tc>
        <w:tc>
          <w:tcPr>
            <w:tcW w:w="1354" w:type="pct"/>
            <w:tcBorders>
              <w:top w:val="single" w:sz="4" w:space="0" w:color="auto"/>
              <w:left w:val="single" w:sz="4" w:space="0" w:color="auto"/>
              <w:bottom w:val="single" w:sz="4" w:space="0" w:color="auto"/>
              <w:right w:val="single" w:sz="4" w:space="0" w:color="auto"/>
            </w:tcBorders>
          </w:tcPr>
          <w:p w14:paraId="261B05A7" w14:textId="2FC66384" w:rsidR="00BC47D3" w:rsidRPr="00B667C4" w:rsidRDefault="009171A7" w:rsidP="003163C6">
            <w:pPr>
              <w:rPr>
                <w:rFonts w:asciiTheme="minorHAnsi" w:hAnsiTheme="minorHAnsi" w:cstheme="minorHAnsi"/>
                <w:sz w:val="22"/>
                <w:lang w:eastAsia="zh-CN"/>
              </w:rPr>
            </w:pPr>
            <w:r w:rsidRPr="00B667C4">
              <w:rPr>
                <w:rFonts w:asciiTheme="minorHAnsi" w:hAnsiTheme="minorHAnsi" w:cstheme="minorHAnsi"/>
                <w:sz w:val="22"/>
                <w:lang w:eastAsia="zh-CN"/>
              </w:rPr>
              <w:t>Krake</w:t>
            </w:r>
            <w:r w:rsidR="00BC47D3" w:rsidRPr="00B667C4">
              <w:rPr>
                <w:rFonts w:asciiTheme="minorHAnsi" w:hAnsiTheme="minorHAnsi" w:cstheme="minorHAnsi"/>
                <w:sz w:val="22"/>
                <w:lang w:eastAsia="zh-CN"/>
              </w:rPr>
              <w:t>: 48 hours</w:t>
            </w:r>
          </w:p>
        </w:tc>
        <w:tc>
          <w:tcPr>
            <w:tcW w:w="727" w:type="pct"/>
            <w:tcBorders>
              <w:top w:val="single" w:sz="4" w:space="0" w:color="auto"/>
              <w:left w:val="single" w:sz="4" w:space="0" w:color="auto"/>
              <w:bottom w:val="single" w:sz="4" w:space="0" w:color="auto"/>
              <w:right w:val="single" w:sz="4" w:space="0" w:color="auto"/>
            </w:tcBorders>
          </w:tcPr>
          <w:p w14:paraId="75B49734" w14:textId="1270CEA0"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23</w:t>
            </w:r>
            <w:r w:rsidR="00CF147E"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2C19A74B"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36h</w:t>
            </w:r>
          </w:p>
        </w:tc>
      </w:tr>
      <w:tr w:rsidR="00BC47D3" w:rsidRPr="00B667C4" w14:paraId="3572060B" w14:textId="77777777" w:rsidTr="00BF1340">
        <w:trPr>
          <w:trHeight w:val="230"/>
          <w:jc w:val="center"/>
        </w:trPr>
        <w:tc>
          <w:tcPr>
            <w:tcW w:w="2238" w:type="pct"/>
            <w:tcBorders>
              <w:top w:val="single" w:sz="4" w:space="0" w:color="auto"/>
              <w:left w:val="single" w:sz="4" w:space="0" w:color="auto"/>
              <w:bottom w:val="single" w:sz="4" w:space="0" w:color="auto"/>
              <w:right w:val="single" w:sz="4" w:space="0" w:color="auto"/>
            </w:tcBorders>
            <w:hideMark/>
          </w:tcPr>
          <w:p w14:paraId="2DE92BD7" w14:textId="77777777" w:rsidR="00BC47D3" w:rsidRPr="00B667C4" w:rsidRDefault="00BC47D3" w:rsidP="003163C6">
            <w:pPr>
              <w:ind w:right="-108"/>
              <w:jc w:val="left"/>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Time required for crossing the border from Krake (Benin) to Seme (Nigeria)</w:t>
            </w:r>
          </w:p>
        </w:tc>
        <w:tc>
          <w:tcPr>
            <w:tcW w:w="1354" w:type="pct"/>
            <w:tcBorders>
              <w:top w:val="single" w:sz="4" w:space="0" w:color="auto"/>
              <w:left w:val="single" w:sz="4" w:space="0" w:color="auto"/>
              <w:bottom w:val="single" w:sz="4" w:space="0" w:color="auto"/>
              <w:right w:val="single" w:sz="4" w:space="0" w:color="auto"/>
            </w:tcBorders>
          </w:tcPr>
          <w:p w14:paraId="6543A734" w14:textId="1F3B8F88" w:rsidR="00BC47D3" w:rsidRPr="00B667C4" w:rsidRDefault="00BC47D3" w:rsidP="003163C6">
            <w:pPr>
              <w:rPr>
                <w:rFonts w:asciiTheme="minorHAnsi" w:hAnsiTheme="minorHAnsi" w:cstheme="minorHAnsi"/>
                <w:sz w:val="22"/>
                <w:lang w:eastAsia="zh-CN"/>
              </w:rPr>
            </w:pPr>
            <w:r w:rsidRPr="00B667C4">
              <w:rPr>
                <w:rFonts w:asciiTheme="minorHAnsi" w:hAnsiTheme="minorHAnsi" w:cstheme="minorHAnsi"/>
                <w:sz w:val="22"/>
                <w:lang w:eastAsia="zh-CN"/>
              </w:rPr>
              <w:t>Seme: 48 hours</w:t>
            </w:r>
          </w:p>
        </w:tc>
        <w:tc>
          <w:tcPr>
            <w:tcW w:w="727" w:type="pct"/>
            <w:tcBorders>
              <w:top w:val="single" w:sz="4" w:space="0" w:color="auto"/>
              <w:left w:val="single" w:sz="4" w:space="0" w:color="auto"/>
              <w:bottom w:val="single" w:sz="4" w:space="0" w:color="auto"/>
              <w:right w:val="single" w:sz="4" w:space="0" w:color="auto"/>
            </w:tcBorders>
          </w:tcPr>
          <w:p w14:paraId="6F725665" w14:textId="0CB39284" w:rsidR="00BC47D3" w:rsidRPr="00B667C4" w:rsidRDefault="009F1B4C"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31</w:t>
            </w:r>
            <w:r w:rsidR="00BC47D3" w:rsidRPr="00B667C4">
              <w:rPr>
                <w:rFonts w:asciiTheme="minorHAnsi" w:eastAsia="SimSun" w:hAnsiTheme="minorHAnsi" w:cstheme="minorHAnsi"/>
                <w:sz w:val="22"/>
                <w:lang w:eastAsia="zh-CN"/>
              </w:rPr>
              <w:t>h</w:t>
            </w:r>
          </w:p>
        </w:tc>
        <w:tc>
          <w:tcPr>
            <w:tcW w:w="680" w:type="pct"/>
            <w:tcBorders>
              <w:top w:val="single" w:sz="4" w:space="0" w:color="auto"/>
              <w:left w:val="single" w:sz="4" w:space="0" w:color="auto"/>
              <w:bottom w:val="single" w:sz="4" w:space="0" w:color="auto"/>
              <w:right w:val="single" w:sz="4" w:space="0" w:color="auto"/>
            </w:tcBorders>
          </w:tcPr>
          <w:p w14:paraId="10695F19" w14:textId="77777777" w:rsidR="00BC47D3" w:rsidRPr="00B667C4" w:rsidRDefault="00BC47D3" w:rsidP="003163C6">
            <w:pPr>
              <w:rPr>
                <w:rFonts w:asciiTheme="minorHAnsi" w:eastAsia="SimSun" w:hAnsiTheme="minorHAnsi" w:cstheme="minorHAnsi"/>
                <w:sz w:val="22"/>
                <w:lang w:eastAsia="zh-CN"/>
              </w:rPr>
            </w:pPr>
            <w:r w:rsidRPr="00B667C4">
              <w:rPr>
                <w:rFonts w:asciiTheme="minorHAnsi" w:eastAsia="SimSun" w:hAnsiTheme="minorHAnsi" w:cstheme="minorHAnsi"/>
                <w:sz w:val="22"/>
                <w:lang w:eastAsia="zh-CN"/>
              </w:rPr>
              <w:t>36h</w:t>
            </w:r>
          </w:p>
        </w:tc>
      </w:tr>
    </w:tbl>
    <w:p w14:paraId="725EA42B" w14:textId="38BB1A0B" w:rsidR="00BC47D3" w:rsidRPr="00B667C4" w:rsidRDefault="00BC47D3" w:rsidP="003163C6">
      <w:pPr>
        <w:spacing w:before="60" w:after="240"/>
        <w:ind w:firstLine="720"/>
        <w:rPr>
          <w:rFonts w:asciiTheme="minorHAnsi" w:hAnsiTheme="minorHAnsi" w:cstheme="minorHAnsi"/>
          <w:sz w:val="22"/>
        </w:rPr>
      </w:pPr>
      <w:r w:rsidRPr="00B667C4">
        <w:rPr>
          <w:rFonts w:asciiTheme="minorHAnsi" w:hAnsiTheme="minorHAnsi" w:cstheme="minorHAnsi"/>
          <w:sz w:val="22"/>
        </w:rPr>
        <w:t xml:space="preserve">Source: </w:t>
      </w:r>
      <w:r w:rsidR="009F1B4C" w:rsidRPr="00B667C4">
        <w:rPr>
          <w:rFonts w:asciiTheme="minorHAnsi" w:hAnsiTheme="minorHAnsi" w:cstheme="minorHAnsi"/>
          <w:sz w:val="22"/>
        </w:rPr>
        <w:t>Abidjan</w:t>
      </w:r>
      <w:r w:rsidR="00496EBA" w:rsidRPr="00B667C4">
        <w:rPr>
          <w:rFonts w:asciiTheme="minorHAnsi" w:hAnsiTheme="minorHAnsi" w:cstheme="minorHAnsi"/>
          <w:sz w:val="22"/>
        </w:rPr>
        <w:t>-</w:t>
      </w:r>
      <w:r w:rsidR="009F1B4C" w:rsidRPr="00B667C4">
        <w:rPr>
          <w:rFonts w:asciiTheme="minorHAnsi" w:hAnsiTheme="minorHAnsi" w:cstheme="minorHAnsi"/>
          <w:sz w:val="22"/>
        </w:rPr>
        <w:t xml:space="preserve">Lagos </w:t>
      </w:r>
      <w:r w:rsidR="00EC654A" w:rsidRPr="00B667C4">
        <w:rPr>
          <w:rFonts w:asciiTheme="minorHAnsi" w:hAnsiTheme="minorHAnsi" w:cstheme="minorHAnsi"/>
          <w:sz w:val="22"/>
        </w:rPr>
        <w:t>(2016).</w:t>
      </w:r>
    </w:p>
    <w:p w14:paraId="5251EDA0" w14:textId="1E189609" w:rsidR="004F5211" w:rsidRPr="00B667C4" w:rsidRDefault="004F5211" w:rsidP="003163C6">
      <w:pPr>
        <w:pStyle w:val="ListParagraph"/>
        <w:numPr>
          <w:ilvl w:val="0"/>
          <w:numId w:val="17"/>
        </w:numPr>
        <w:spacing w:after="120" w:line="276" w:lineRule="auto"/>
        <w:rPr>
          <w:rFonts w:asciiTheme="minorHAnsi" w:hAnsiTheme="minorHAnsi" w:cstheme="minorHAnsi"/>
          <w:b/>
          <w:color w:val="000000"/>
          <w:sz w:val="22"/>
          <w:lang w:val="en-US"/>
        </w:rPr>
      </w:pPr>
      <w:r w:rsidRPr="00B667C4">
        <w:rPr>
          <w:rFonts w:asciiTheme="minorHAnsi" w:hAnsiTheme="minorHAnsi" w:cstheme="minorHAnsi"/>
          <w:b/>
          <w:color w:val="000000"/>
          <w:sz w:val="22"/>
          <w:lang w:val="en-US"/>
        </w:rPr>
        <w:t>Services</w:t>
      </w:r>
      <w:r w:rsidR="004B7284" w:rsidRPr="00B667C4">
        <w:rPr>
          <w:rFonts w:asciiTheme="minorHAnsi" w:hAnsiTheme="minorHAnsi" w:cstheme="minorHAnsi"/>
          <w:b/>
          <w:color w:val="000000"/>
          <w:sz w:val="22"/>
          <w:lang w:val="en-US"/>
        </w:rPr>
        <w:t xml:space="preserve">-related policies and </w:t>
      </w:r>
      <w:r w:rsidR="00940A8D" w:rsidRPr="00B667C4">
        <w:rPr>
          <w:rFonts w:asciiTheme="minorHAnsi" w:hAnsiTheme="minorHAnsi" w:cstheme="minorHAnsi"/>
          <w:b/>
          <w:color w:val="000000"/>
          <w:sz w:val="22"/>
          <w:lang w:val="en-US"/>
        </w:rPr>
        <w:t>African integration</w:t>
      </w:r>
    </w:p>
    <w:p w14:paraId="5F16DE13" w14:textId="6F9C4760" w:rsidR="0066571D" w:rsidRPr="00B667C4" w:rsidRDefault="00CF147E" w:rsidP="00FA4BD6">
      <w:pPr>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F</w:t>
      </w:r>
      <w:r w:rsidR="00B26612" w:rsidRPr="00B667C4">
        <w:rPr>
          <w:rFonts w:asciiTheme="minorHAnsi" w:hAnsiTheme="minorHAnsi" w:cstheme="minorHAnsi"/>
          <w:color w:val="000000"/>
          <w:sz w:val="22"/>
        </w:rPr>
        <w:t xml:space="preserve">or any level of economic </w:t>
      </w:r>
      <w:r w:rsidR="008D78EA" w:rsidRPr="00B667C4">
        <w:rPr>
          <w:rFonts w:asciiTheme="minorHAnsi" w:hAnsiTheme="minorHAnsi" w:cstheme="minorHAnsi"/>
          <w:color w:val="000000"/>
          <w:sz w:val="22"/>
        </w:rPr>
        <w:t>development,</w:t>
      </w:r>
      <w:r w:rsidR="00B26612" w:rsidRPr="00B667C4">
        <w:rPr>
          <w:rFonts w:asciiTheme="minorHAnsi" w:hAnsiTheme="minorHAnsi" w:cstheme="minorHAnsi"/>
          <w:color w:val="000000"/>
          <w:sz w:val="22"/>
        </w:rPr>
        <w:t xml:space="preserve"> the role of services in the economy is today more important than in the past </w:t>
      </w:r>
      <w:r w:rsidR="008D78EA" w:rsidRPr="00B667C4">
        <w:rPr>
          <w:rFonts w:asciiTheme="minorHAnsi" w:hAnsiTheme="minorHAnsi" w:cstheme="minorHAnsi"/>
          <w:color w:val="000000"/>
          <w:sz w:val="22"/>
        </w:rPr>
        <w:t>because of</w:t>
      </w:r>
      <w:r w:rsidR="00B26612" w:rsidRPr="00B667C4">
        <w:rPr>
          <w:rFonts w:asciiTheme="minorHAnsi" w:hAnsiTheme="minorHAnsi" w:cstheme="minorHAnsi"/>
          <w:color w:val="000000"/>
          <w:sz w:val="22"/>
        </w:rPr>
        <w:t xml:space="preserve"> technological changes in information and communication and other industries. </w:t>
      </w:r>
      <w:r w:rsidR="004472C5" w:rsidRPr="00B667C4">
        <w:rPr>
          <w:rFonts w:asciiTheme="minorHAnsi" w:hAnsiTheme="minorHAnsi" w:cstheme="minorHAnsi"/>
          <w:color w:val="000000"/>
          <w:sz w:val="22"/>
        </w:rPr>
        <w:t>Man</w:t>
      </w:r>
      <w:r w:rsidR="00A42E7F" w:rsidRPr="00B667C4">
        <w:rPr>
          <w:rFonts w:asciiTheme="minorHAnsi" w:hAnsiTheme="minorHAnsi" w:cstheme="minorHAnsi"/>
          <w:color w:val="000000"/>
          <w:sz w:val="22"/>
        </w:rPr>
        <w:t>y services are inputs into the production of other services and goods</w:t>
      </w:r>
      <w:r w:rsidR="006B6963" w:rsidRPr="00B667C4">
        <w:rPr>
          <w:rFonts w:asciiTheme="minorHAnsi" w:hAnsiTheme="minorHAnsi" w:cstheme="minorHAnsi"/>
          <w:color w:val="000000"/>
          <w:sz w:val="22"/>
        </w:rPr>
        <w:t xml:space="preserve"> (</w:t>
      </w:r>
      <w:r w:rsidR="006756F1">
        <w:rPr>
          <w:rFonts w:asciiTheme="minorHAnsi" w:hAnsiTheme="minorHAnsi" w:cstheme="minorHAnsi"/>
          <w:color w:val="000000"/>
          <w:sz w:val="22"/>
        </w:rPr>
        <w:t>Francois and Hoekman, 2010</w:t>
      </w:r>
      <w:r w:rsidR="006B6963" w:rsidRPr="00B667C4">
        <w:rPr>
          <w:rFonts w:asciiTheme="minorHAnsi" w:hAnsiTheme="minorHAnsi" w:cstheme="minorHAnsi"/>
          <w:sz w:val="22"/>
        </w:rPr>
        <w:t>)</w:t>
      </w:r>
      <w:r w:rsidR="00A42E7F" w:rsidRPr="00B667C4">
        <w:rPr>
          <w:rFonts w:asciiTheme="minorHAnsi" w:hAnsiTheme="minorHAnsi" w:cstheme="minorHAnsi"/>
          <w:color w:val="000000"/>
          <w:sz w:val="22"/>
        </w:rPr>
        <w:t>. As a result, their cost and quality impact on economy</w:t>
      </w:r>
      <w:r w:rsidR="004472C5" w:rsidRPr="00B667C4">
        <w:rPr>
          <w:rFonts w:asciiTheme="minorHAnsi" w:hAnsiTheme="minorHAnsi" w:cstheme="minorHAnsi"/>
          <w:color w:val="000000"/>
          <w:sz w:val="22"/>
        </w:rPr>
        <w:t>-wide performance</w:t>
      </w:r>
      <w:r w:rsidR="00A42E7F" w:rsidRPr="00B667C4">
        <w:rPr>
          <w:rFonts w:asciiTheme="minorHAnsi" w:hAnsiTheme="minorHAnsi" w:cstheme="minorHAnsi"/>
          <w:color w:val="000000"/>
          <w:sz w:val="22"/>
        </w:rPr>
        <w:t xml:space="preserve">. </w:t>
      </w:r>
      <w:r w:rsidR="00B01B3D" w:rsidRPr="00B667C4">
        <w:rPr>
          <w:rFonts w:asciiTheme="minorHAnsi" w:hAnsiTheme="minorHAnsi" w:cstheme="minorHAnsi"/>
          <w:iCs/>
          <w:color w:val="000000"/>
          <w:sz w:val="22"/>
        </w:rPr>
        <w:t xml:space="preserve">Recent initiatives such as the OECD-WTO Trade in Value Added database </w:t>
      </w:r>
      <w:r w:rsidR="00B26612" w:rsidRPr="00B667C4">
        <w:rPr>
          <w:rFonts w:asciiTheme="minorHAnsi" w:hAnsiTheme="minorHAnsi" w:cstheme="minorHAnsi"/>
          <w:iCs/>
          <w:color w:val="000000"/>
          <w:sz w:val="22"/>
        </w:rPr>
        <w:t>reveal t</w:t>
      </w:r>
      <w:r w:rsidR="00B01B3D" w:rsidRPr="00B667C4">
        <w:rPr>
          <w:rFonts w:asciiTheme="minorHAnsi" w:hAnsiTheme="minorHAnsi" w:cstheme="minorHAnsi"/>
          <w:iCs/>
          <w:color w:val="000000"/>
          <w:sz w:val="22"/>
        </w:rPr>
        <w:t xml:space="preserve">hat services account for </w:t>
      </w:r>
      <w:r w:rsidR="00A42E7F" w:rsidRPr="00B667C4">
        <w:rPr>
          <w:rFonts w:asciiTheme="minorHAnsi" w:hAnsiTheme="minorHAnsi" w:cstheme="minorHAnsi"/>
          <w:iCs/>
          <w:color w:val="000000"/>
          <w:sz w:val="22"/>
        </w:rPr>
        <w:t xml:space="preserve">a much larger share of </w:t>
      </w:r>
      <w:r w:rsidR="0074423A" w:rsidRPr="00B667C4">
        <w:rPr>
          <w:rFonts w:asciiTheme="minorHAnsi" w:hAnsiTheme="minorHAnsi" w:cstheme="minorHAnsi"/>
          <w:iCs/>
          <w:color w:val="000000"/>
          <w:sz w:val="22"/>
        </w:rPr>
        <w:t>world</w:t>
      </w:r>
      <w:r w:rsidR="00A42E7F" w:rsidRPr="00B667C4">
        <w:rPr>
          <w:rFonts w:asciiTheme="minorHAnsi" w:hAnsiTheme="minorHAnsi" w:cstheme="minorHAnsi"/>
          <w:iCs/>
          <w:color w:val="000000"/>
          <w:sz w:val="22"/>
        </w:rPr>
        <w:t xml:space="preserve"> trade than is suggested by balance of payments data. Some </w:t>
      </w:r>
      <w:r w:rsidR="00B01B3D" w:rsidRPr="00B667C4">
        <w:rPr>
          <w:rFonts w:asciiTheme="minorHAnsi" w:hAnsiTheme="minorHAnsi" w:cstheme="minorHAnsi"/>
          <w:iCs/>
          <w:color w:val="000000"/>
          <w:sz w:val="22"/>
        </w:rPr>
        <w:t xml:space="preserve">50 percent of </w:t>
      </w:r>
      <w:r w:rsidR="0074423A" w:rsidRPr="00B667C4">
        <w:rPr>
          <w:rFonts w:asciiTheme="minorHAnsi" w:hAnsiTheme="minorHAnsi" w:cstheme="minorHAnsi"/>
          <w:iCs/>
          <w:color w:val="000000"/>
          <w:sz w:val="22"/>
        </w:rPr>
        <w:t xml:space="preserve">global </w:t>
      </w:r>
      <w:r w:rsidR="00B01B3D" w:rsidRPr="00B667C4">
        <w:rPr>
          <w:rFonts w:asciiTheme="minorHAnsi" w:hAnsiTheme="minorHAnsi" w:cstheme="minorHAnsi"/>
          <w:iCs/>
          <w:color w:val="000000"/>
          <w:sz w:val="22"/>
        </w:rPr>
        <w:t>trade on a value-added basis</w:t>
      </w:r>
      <w:r w:rsidR="00A42E7F" w:rsidRPr="00B667C4">
        <w:rPr>
          <w:rFonts w:asciiTheme="minorHAnsi" w:hAnsiTheme="minorHAnsi" w:cstheme="minorHAnsi"/>
          <w:iCs/>
          <w:color w:val="000000"/>
          <w:sz w:val="22"/>
        </w:rPr>
        <w:t xml:space="preserve"> comprises services</w:t>
      </w:r>
      <w:r w:rsidRPr="00B667C4">
        <w:rPr>
          <w:rFonts w:asciiTheme="minorHAnsi" w:hAnsiTheme="minorHAnsi" w:cstheme="minorHAnsi"/>
          <w:iCs/>
          <w:color w:val="000000"/>
          <w:sz w:val="22"/>
        </w:rPr>
        <w:t xml:space="preserve">, </w:t>
      </w:r>
      <w:r w:rsidR="00B01B3D" w:rsidRPr="00B667C4">
        <w:rPr>
          <w:rFonts w:asciiTheme="minorHAnsi" w:hAnsiTheme="minorHAnsi" w:cstheme="minorHAnsi"/>
          <w:iCs/>
          <w:color w:val="000000"/>
          <w:sz w:val="22"/>
        </w:rPr>
        <w:t>reflect</w:t>
      </w:r>
      <w:r w:rsidRPr="00B667C4">
        <w:rPr>
          <w:rFonts w:asciiTheme="minorHAnsi" w:hAnsiTheme="minorHAnsi" w:cstheme="minorHAnsi"/>
          <w:iCs/>
          <w:color w:val="000000"/>
          <w:sz w:val="22"/>
        </w:rPr>
        <w:t>ing</w:t>
      </w:r>
      <w:r w:rsidR="00B01B3D" w:rsidRPr="00B667C4">
        <w:rPr>
          <w:rFonts w:asciiTheme="minorHAnsi" w:hAnsiTheme="minorHAnsi" w:cstheme="minorHAnsi"/>
          <w:iCs/>
          <w:color w:val="000000"/>
          <w:sz w:val="22"/>
        </w:rPr>
        <w:t xml:space="preserve"> the </w:t>
      </w:r>
      <w:r w:rsidRPr="00B667C4">
        <w:rPr>
          <w:rFonts w:asciiTheme="minorHAnsi" w:hAnsiTheme="minorHAnsi" w:cstheme="minorHAnsi"/>
          <w:iCs/>
          <w:color w:val="000000"/>
          <w:sz w:val="22"/>
        </w:rPr>
        <w:t>role of ser</w:t>
      </w:r>
      <w:r w:rsidR="00B01B3D" w:rsidRPr="00B667C4">
        <w:rPr>
          <w:rFonts w:asciiTheme="minorHAnsi" w:hAnsiTheme="minorHAnsi" w:cstheme="minorHAnsi"/>
          <w:iCs/>
          <w:color w:val="000000"/>
          <w:sz w:val="22"/>
        </w:rPr>
        <w:t>vices a</w:t>
      </w:r>
      <w:r w:rsidRPr="00B667C4">
        <w:rPr>
          <w:rFonts w:asciiTheme="minorHAnsi" w:hAnsiTheme="minorHAnsi" w:cstheme="minorHAnsi"/>
          <w:iCs/>
          <w:color w:val="000000"/>
          <w:sz w:val="22"/>
        </w:rPr>
        <w:t>s</w:t>
      </w:r>
      <w:r w:rsidR="00B01B3D" w:rsidRPr="00B667C4">
        <w:rPr>
          <w:rFonts w:asciiTheme="minorHAnsi" w:hAnsiTheme="minorHAnsi" w:cstheme="minorHAnsi"/>
          <w:iCs/>
          <w:color w:val="000000"/>
          <w:sz w:val="22"/>
        </w:rPr>
        <w:t xml:space="preserve"> inputs into traded products.</w:t>
      </w:r>
      <w:r w:rsidR="00A42E7F" w:rsidRPr="00B667C4">
        <w:rPr>
          <w:rFonts w:asciiTheme="minorHAnsi" w:hAnsiTheme="minorHAnsi" w:cstheme="minorHAnsi"/>
          <w:color w:val="000000"/>
          <w:sz w:val="22"/>
        </w:rPr>
        <w:t xml:space="preserve"> </w:t>
      </w:r>
      <w:r w:rsidR="00322BBE" w:rsidRPr="00B667C4">
        <w:rPr>
          <w:rFonts w:asciiTheme="minorHAnsi" w:hAnsiTheme="minorHAnsi" w:cstheme="minorHAnsi"/>
          <w:color w:val="000000"/>
          <w:sz w:val="22"/>
        </w:rPr>
        <w:t xml:space="preserve">This is also the case for </w:t>
      </w:r>
      <w:r w:rsidRPr="00B667C4">
        <w:rPr>
          <w:rFonts w:asciiTheme="minorHAnsi" w:hAnsiTheme="minorHAnsi" w:cstheme="minorHAnsi"/>
          <w:color w:val="000000"/>
          <w:sz w:val="22"/>
        </w:rPr>
        <w:t>SSA</w:t>
      </w:r>
      <w:r w:rsidR="00322BBE" w:rsidRPr="00B667C4">
        <w:rPr>
          <w:rFonts w:asciiTheme="minorHAnsi" w:hAnsiTheme="minorHAnsi" w:cstheme="minorHAnsi"/>
          <w:color w:val="000000"/>
          <w:sz w:val="22"/>
        </w:rPr>
        <w:t xml:space="preserve">: </w:t>
      </w:r>
      <w:r w:rsidR="0066571D" w:rsidRPr="00B667C4">
        <w:rPr>
          <w:rFonts w:asciiTheme="minorHAnsi" w:hAnsiTheme="minorHAnsi" w:cstheme="minorHAnsi"/>
          <w:color w:val="000000"/>
          <w:sz w:val="22"/>
        </w:rPr>
        <w:t xml:space="preserve">forward linkages </w:t>
      </w:r>
      <w:r w:rsidR="00322BBE" w:rsidRPr="00B667C4">
        <w:rPr>
          <w:rFonts w:asciiTheme="minorHAnsi" w:hAnsiTheme="minorHAnsi" w:cstheme="minorHAnsi"/>
          <w:color w:val="000000"/>
          <w:sz w:val="22"/>
        </w:rPr>
        <w:t xml:space="preserve">are important, with the </w:t>
      </w:r>
      <w:r w:rsidR="0066571D" w:rsidRPr="00B667C4">
        <w:rPr>
          <w:rFonts w:asciiTheme="minorHAnsi" w:hAnsiTheme="minorHAnsi" w:cstheme="minorHAnsi"/>
          <w:color w:val="000000"/>
          <w:sz w:val="22"/>
        </w:rPr>
        <w:t>va</w:t>
      </w:r>
      <w:r w:rsidR="00666358" w:rsidRPr="00B667C4">
        <w:rPr>
          <w:rFonts w:asciiTheme="minorHAnsi" w:hAnsiTheme="minorHAnsi" w:cstheme="minorHAnsi"/>
          <w:color w:val="000000"/>
          <w:sz w:val="22"/>
        </w:rPr>
        <w:t>lue added generated by sector</w:t>
      </w:r>
      <w:r w:rsidR="00322BBE" w:rsidRPr="00B667C4">
        <w:rPr>
          <w:rFonts w:asciiTheme="minorHAnsi" w:hAnsiTheme="minorHAnsi" w:cstheme="minorHAnsi"/>
          <w:color w:val="000000"/>
          <w:sz w:val="22"/>
        </w:rPr>
        <w:t>s</w:t>
      </w:r>
      <w:r w:rsidR="000F259A" w:rsidRPr="00B667C4">
        <w:rPr>
          <w:rFonts w:asciiTheme="minorHAnsi" w:hAnsiTheme="minorHAnsi" w:cstheme="minorHAnsi"/>
          <w:color w:val="000000"/>
          <w:sz w:val="22"/>
        </w:rPr>
        <w:t xml:space="preserve"> such as b</w:t>
      </w:r>
      <w:r w:rsidR="0066571D" w:rsidRPr="00B667C4">
        <w:rPr>
          <w:rFonts w:asciiTheme="minorHAnsi" w:hAnsiTheme="minorHAnsi" w:cstheme="minorHAnsi"/>
          <w:color w:val="000000"/>
          <w:sz w:val="22"/>
        </w:rPr>
        <w:t xml:space="preserve">usiness </w:t>
      </w:r>
      <w:r w:rsidR="000F259A" w:rsidRPr="00B667C4">
        <w:rPr>
          <w:rFonts w:asciiTheme="minorHAnsi" w:hAnsiTheme="minorHAnsi" w:cstheme="minorHAnsi"/>
          <w:color w:val="000000"/>
          <w:sz w:val="22"/>
        </w:rPr>
        <w:t xml:space="preserve">and professional </w:t>
      </w:r>
      <w:r w:rsidR="0066571D" w:rsidRPr="00B667C4">
        <w:rPr>
          <w:rFonts w:asciiTheme="minorHAnsi" w:hAnsiTheme="minorHAnsi" w:cstheme="minorHAnsi"/>
          <w:color w:val="000000"/>
          <w:sz w:val="22"/>
        </w:rPr>
        <w:t>services</w:t>
      </w:r>
      <w:r w:rsidR="000F259A" w:rsidRPr="00B667C4">
        <w:rPr>
          <w:rFonts w:asciiTheme="minorHAnsi" w:hAnsiTheme="minorHAnsi" w:cstheme="minorHAnsi"/>
          <w:color w:val="000000"/>
          <w:sz w:val="22"/>
        </w:rPr>
        <w:t xml:space="preserve"> used as </w:t>
      </w:r>
      <w:r w:rsidR="0066571D" w:rsidRPr="00B667C4">
        <w:rPr>
          <w:rFonts w:asciiTheme="minorHAnsi" w:hAnsiTheme="minorHAnsi" w:cstheme="minorHAnsi"/>
          <w:color w:val="000000"/>
          <w:sz w:val="22"/>
        </w:rPr>
        <w:t xml:space="preserve">an intermediate input into the </w:t>
      </w:r>
      <w:r w:rsidR="000F259A" w:rsidRPr="00B667C4">
        <w:rPr>
          <w:rFonts w:asciiTheme="minorHAnsi" w:hAnsiTheme="minorHAnsi" w:cstheme="minorHAnsi"/>
          <w:color w:val="000000"/>
          <w:sz w:val="22"/>
        </w:rPr>
        <w:t xml:space="preserve">production of goods (and services) that are </w:t>
      </w:r>
      <w:r w:rsidR="0066571D" w:rsidRPr="00B667C4">
        <w:rPr>
          <w:rFonts w:asciiTheme="minorHAnsi" w:hAnsiTheme="minorHAnsi" w:cstheme="minorHAnsi"/>
          <w:color w:val="000000"/>
          <w:sz w:val="22"/>
        </w:rPr>
        <w:t>export</w:t>
      </w:r>
      <w:r w:rsidR="000F259A" w:rsidRPr="00B667C4">
        <w:rPr>
          <w:rFonts w:asciiTheme="minorHAnsi" w:hAnsiTheme="minorHAnsi" w:cstheme="minorHAnsi"/>
          <w:color w:val="000000"/>
          <w:sz w:val="22"/>
        </w:rPr>
        <w:t xml:space="preserve">ed across a range </w:t>
      </w:r>
      <w:r w:rsidR="0066571D" w:rsidRPr="00B667C4">
        <w:rPr>
          <w:rFonts w:asciiTheme="minorHAnsi" w:hAnsiTheme="minorHAnsi" w:cstheme="minorHAnsi"/>
          <w:color w:val="000000"/>
          <w:sz w:val="22"/>
        </w:rPr>
        <w:t>of industries</w:t>
      </w:r>
      <w:r w:rsidR="006756F1">
        <w:rPr>
          <w:rFonts w:asciiTheme="minorHAnsi" w:hAnsiTheme="minorHAnsi" w:cstheme="minorHAnsi"/>
          <w:color w:val="000000"/>
          <w:sz w:val="22"/>
        </w:rPr>
        <w:t xml:space="preserve"> (</w:t>
      </w:r>
      <w:r w:rsidR="006756F1" w:rsidRPr="00B667C4">
        <w:rPr>
          <w:rFonts w:asciiTheme="minorHAnsi" w:hAnsiTheme="minorHAnsi" w:cstheme="minorHAnsi"/>
          <w:sz w:val="22"/>
        </w:rPr>
        <w:t>Nordås, 2011</w:t>
      </w:r>
      <w:r w:rsidR="006756F1">
        <w:rPr>
          <w:rFonts w:asciiTheme="minorHAnsi" w:hAnsiTheme="minorHAnsi" w:cstheme="minorHAnsi"/>
          <w:sz w:val="22"/>
        </w:rPr>
        <w:t>)</w:t>
      </w:r>
      <w:r w:rsidR="0066571D" w:rsidRPr="00B667C4">
        <w:rPr>
          <w:rFonts w:asciiTheme="minorHAnsi" w:hAnsiTheme="minorHAnsi" w:cstheme="minorHAnsi"/>
          <w:color w:val="000000"/>
          <w:sz w:val="22"/>
        </w:rPr>
        <w:t>.</w:t>
      </w:r>
      <w:r w:rsidR="000F259A" w:rsidRPr="00B667C4">
        <w:rPr>
          <w:rFonts w:asciiTheme="minorHAnsi" w:hAnsiTheme="minorHAnsi" w:cstheme="minorHAnsi"/>
          <w:color w:val="000000"/>
          <w:sz w:val="22"/>
        </w:rPr>
        <w:t xml:space="preserve"> </w:t>
      </w:r>
      <w:r w:rsidR="006756F1">
        <w:rPr>
          <w:rFonts w:asciiTheme="minorHAnsi" w:hAnsiTheme="minorHAnsi" w:cstheme="minorHAnsi"/>
          <w:color w:val="000000"/>
          <w:sz w:val="22"/>
        </w:rPr>
        <w:t>The productivity performance of s</w:t>
      </w:r>
      <w:r w:rsidRPr="00B667C4">
        <w:rPr>
          <w:rFonts w:asciiTheme="minorHAnsi" w:hAnsiTheme="minorHAnsi" w:cstheme="minorHAnsi"/>
          <w:color w:val="000000"/>
          <w:sz w:val="22"/>
        </w:rPr>
        <w:t xml:space="preserve">ervices </w:t>
      </w:r>
      <w:r w:rsidR="000F259A" w:rsidRPr="00B667C4">
        <w:rPr>
          <w:rFonts w:asciiTheme="minorHAnsi" w:hAnsiTheme="minorHAnsi" w:cstheme="minorHAnsi"/>
          <w:color w:val="000000"/>
          <w:sz w:val="22"/>
        </w:rPr>
        <w:t>and</w:t>
      </w:r>
      <w:r w:rsidR="006756F1">
        <w:rPr>
          <w:rFonts w:asciiTheme="minorHAnsi" w:hAnsiTheme="minorHAnsi" w:cstheme="minorHAnsi"/>
          <w:color w:val="000000"/>
          <w:sz w:val="22"/>
        </w:rPr>
        <w:t xml:space="preserve"> the</w:t>
      </w:r>
      <w:r w:rsidR="000F259A" w:rsidRPr="00B667C4">
        <w:rPr>
          <w:rFonts w:asciiTheme="minorHAnsi" w:hAnsiTheme="minorHAnsi" w:cstheme="minorHAnsi"/>
          <w:color w:val="000000"/>
          <w:sz w:val="22"/>
        </w:rPr>
        <w:t xml:space="preserve"> servicification of production </w:t>
      </w:r>
      <w:r w:rsidRPr="00B667C4">
        <w:rPr>
          <w:rFonts w:asciiTheme="minorHAnsi" w:hAnsiTheme="minorHAnsi" w:cstheme="minorHAnsi"/>
          <w:color w:val="000000"/>
          <w:sz w:val="22"/>
        </w:rPr>
        <w:t xml:space="preserve">is not a matter that is </w:t>
      </w:r>
      <w:r w:rsidR="006756F1">
        <w:rPr>
          <w:rFonts w:asciiTheme="minorHAnsi" w:hAnsiTheme="minorHAnsi" w:cstheme="minorHAnsi"/>
          <w:color w:val="000000"/>
          <w:sz w:val="22"/>
        </w:rPr>
        <w:t xml:space="preserve">only </w:t>
      </w:r>
      <w:r w:rsidRPr="00B667C4">
        <w:rPr>
          <w:rFonts w:asciiTheme="minorHAnsi" w:hAnsiTheme="minorHAnsi" w:cstheme="minorHAnsi"/>
          <w:color w:val="000000"/>
          <w:sz w:val="22"/>
        </w:rPr>
        <w:t xml:space="preserve">relevant </w:t>
      </w:r>
      <w:r w:rsidR="006756F1">
        <w:rPr>
          <w:rFonts w:asciiTheme="minorHAnsi" w:hAnsiTheme="minorHAnsi" w:cstheme="minorHAnsi"/>
          <w:color w:val="000000"/>
          <w:sz w:val="22"/>
        </w:rPr>
        <w:t>to high-income</w:t>
      </w:r>
      <w:r w:rsidRPr="00B667C4">
        <w:rPr>
          <w:rFonts w:asciiTheme="minorHAnsi" w:hAnsiTheme="minorHAnsi" w:cstheme="minorHAnsi"/>
          <w:color w:val="000000"/>
          <w:sz w:val="22"/>
        </w:rPr>
        <w:t xml:space="preserve"> countries (Low, 2013).</w:t>
      </w:r>
      <w:r w:rsidR="0080203C" w:rsidRPr="00B667C4">
        <w:rPr>
          <w:rFonts w:asciiTheme="minorHAnsi" w:hAnsiTheme="minorHAnsi" w:cstheme="minorHAnsi"/>
          <w:color w:val="000000"/>
          <w:sz w:val="22"/>
        </w:rPr>
        <w:t xml:space="preserve"> </w:t>
      </w:r>
      <w:bookmarkStart w:id="1" w:name="_Ref294432285"/>
      <w:bookmarkStart w:id="2" w:name="_Ref294432280"/>
    </w:p>
    <w:p w14:paraId="1417DF28" w14:textId="2D9A700E" w:rsidR="00B7096C" w:rsidRDefault="000B500C" w:rsidP="003163C6">
      <w:pPr>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 xml:space="preserve">Services are also important from the perspective of trade costs reduction. </w:t>
      </w:r>
      <w:bookmarkEnd w:id="1"/>
      <w:bookmarkEnd w:id="2"/>
      <w:r w:rsidR="00940A8D" w:rsidRPr="00B667C4">
        <w:rPr>
          <w:rFonts w:asciiTheme="minorHAnsi" w:hAnsiTheme="minorHAnsi" w:cstheme="minorHAnsi"/>
          <w:color w:val="000000"/>
          <w:sz w:val="22"/>
        </w:rPr>
        <w:t>T</w:t>
      </w:r>
      <w:r w:rsidR="00F25047" w:rsidRPr="00B667C4">
        <w:rPr>
          <w:rFonts w:asciiTheme="minorHAnsi" w:hAnsiTheme="minorHAnsi" w:cstheme="minorHAnsi"/>
          <w:color w:val="000000"/>
          <w:sz w:val="22"/>
        </w:rPr>
        <w:t xml:space="preserve">rade costs are in part </w:t>
      </w:r>
      <w:r w:rsidR="00CF147E" w:rsidRPr="00B667C4">
        <w:rPr>
          <w:rFonts w:asciiTheme="minorHAnsi" w:hAnsiTheme="minorHAnsi" w:cstheme="minorHAnsi"/>
          <w:color w:val="000000"/>
          <w:sz w:val="22"/>
        </w:rPr>
        <w:t xml:space="preserve">determined by </w:t>
      </w:r>
      <w:r w:rsidRPr="00B667C4">
        <w:rPr>
          <w:rFonts w:asciiTheme="minorHAnsi" w:hAnsiTheme="minorHAnsi" w:cstheme="minorHAnsi"/>
          <w:color w:val="000000"/>
          <w:sz w:val="22"/>
        </w:rPr>
        <w:t xml:space="preserve">the availability, cost and quality of </w:t>
      </w:r>
      <w:r w:rsidR="00F25047" w:rsidRPr="00B667C4">
        <w:rPr>
          <w:rFonts w:asciiTheme="minorHAnsi" w:hAnsiTheme="minorHAnsi" w:cstheme="minorHAnsi"/>
          <w:color w:val="000000"/>
          <w:sz w:val="22"/>
        </w:rPr>
        <w:t xml:space="preserve">services </w:t>
      </w:r>
      <w:r w:rsidRPr="00B667C4">
        <w:rPr>
          <w:rFonts w:asciiTheme="minorHAnsi" w:hAnsiTheme="minorHAnsi" w:cstheme="minorHAnsi"/>
          <w:color w:val="000000"/>
          <w:sz w:val="22"/>
        </w:rPr>
        <w:t xml:space="preserve">such as </w:t>
      </w:r>
      <w:r w:rsidR="00F25047" w:rsidRPr="00B667C4">
        <w:rPr>
          <w:rFonts w:asciiTheme="minorHAnsi" w:hAnsiTheme="minorHAnsi" w:cstheme="minorHAnsi"/>
          <w:color w:val="000000"/>
          <w:sz w:val="22"/>
        </w:rPr>
        <w:t>transport, distribution, storage, logistics</w:t>
      </w:r>
      <w:r w:rsidRPr="00B667C4">
        <w:rPr>
          <w:rFonts w:asciiTheme="minorHAnsi" w:hAnsiTheme="minorHAnsi" w:cstheme="minorHAnsi"/>
          <w:color w:val="000000"/>
          <w:sz w:val="22"/>
        </w:rPr>
        <w:t xml:space="preserve"> telecommunications and insurance. These and other </w:t>
      </w:r>
      <w:r w:rsidR="00F25047" w:rsidRPr="00B667C4">
        <w:rPr>
          <w:rFonts w:asciiTheme="minorHAnsi" w:hAnsiTheme="minorHAnsi" w:cstheme="minorHAnsi"/>
          <w:color w:val="000000"/>
          <w:sz w:val="22"/>
        </w:rPr>
        <w:t xml:space="preserve">services are inputs into production and exchange. </w:t>
      </w:r>
      <w:r w:rsidR="00DA15D9" w:rsidRPr="00B667C4">
        <w:rPr>
          <w:rFonts w:asciiTheme="minorHAnsi" w:hAnsiTheme="minorHAnsi" w:cstheme="minorHAnsi"/>
          <w:sz w:val="22"/>
        </w:rPr>
        <w:t xml:space="preserve">Although </w:t>
      </w:r>
      <w:r w:rsidR="004949F2" w:rsidRPr="00B667C4">
        <w:rPr>
          <w:rFonts w:asciiTheme="minorHAnsi" w:hAnsiTheme="minorHAnsi" w:cstheme="minorHAnsi"/>
          <w:sz w:val="22"/>
        </w:rPr>
        <w:t>several</w:t>
      </w:r>
      <w:r w:rsidR="00DA15D9" w:rsidRPr="00B667C4">
        <w:rPr>
          <w:rFonts w:asciiTheme="minorHAnsi" w:hAnsiTheme="minorHAnsi" w:cstheme="minorHAnsi"/>
          <w:sz w:val="22"/>
        </w:rPr>
        <w:t xml:space="preserve"> studies have analysed the role of services trade policies in developing countries (e.g., Mattoo and Payton, 2007; </w:t>
      </w:r>
      <w:r w:rsidR="00DA15D9" w:rsidRPr="00B667C4">
        <w:rPr>
          <w:rFonts w:asciiTheme="minorHAnsi" w:hAnsiTheme="minorHAnsi" w:cstheme="minorHAnsi"/>
          <w:sz w:val="22"/>
        </w:rPr>
        <w:fldChar w:fldCharType="begin"/>
      </w:r>
      <w:r w:rsidR="00DA15D9" w:rsidRPr="00B667C4">
        <w:rPr>
          <w:rFonts w:asciiTheme="minorHAnsi" w:hAnsiTheme="minorHAnsi" w:cstheme="minorHAnsi"/>
          <w:sz w:val="22"/>
        </w:rPr>
        <w:instrText xml:space="preserve"> ADDIN ZOTERO_ITEM CSL_CITATION {"citationID":"hMpknovZ","properties":{"formattedCitation":"(Cali et al., 2008)","plainCitation":"(Cali et al., 2008)"},"citationItems":[{"id":121,"uris":["http://zotero.org/users/local/vXhuNJtZ/items/2ZWKKMH4"],"uri":["http://zotero.org/users/local/vXhuNJtZ/items/2ZWKKMH4"],"itemData":{"id":121,"type":"report","title":"The contribution of services to development and the role of trade liberalisation and regulation","publisher":"ODI","author":[{"family":"Cali","given":"Massimiliano"},{"family":"Ellis","given":"Karen"},{"family":"te Velde","given":"Dirk Willem"}],"issued":{"date-parts":[["2008"]]}}}],"schema":"https://github.com/citation-style-language/schema/raw/master/csl-citation.json"} </w:instrText>
      </w:r>
      <w:r w:rsidR="00DA15D9" w:rsidRPr="00B667C4">
        <w:rPr>
          <w:rFonts w:asciiTheme="minorHAnsi" w:hAnsiTheme="minorHAnsi" w:cstheme="minorHAnsi"/>
          <w:sz w:val="22"/>
        </w:rPr>
        <w:fldChar w:fldCharType="separate"/>
      </w:r>
      <w:r w:rsidR="00B7096C" w:rsidRPr="00B7096C">
        <w:rPr>
          <w:rFonts w:asciiTheme="minorHAnsi" w:hAnsiTheme="minorHAnsi" w:cstheme="minorHAnsi"/>
          <w:sz w:val="22"/>
        </w:rPr>
        <w:t xml:space="preserve"> </w:t>
      </w:r>
      <w:r w:rsidR="00B7096C" w:rsidRPr="00B667C4">
        <w:rPr>
          <w:rFonts w:asciiTheme="minorHAnsi" w:hAnsiTheme="minorHAnsi" w:cstheme="minorHAnsi"/>
          <w:sz w:val="22"/>
        </w:rPr>
        <w:t>Calì</w:t>
      </w:r>
      <w:r w:rsidR="00DA15D9" w:rsidRPr="00B667C4">
        <w:rPr>
          <w:rFonts w:asciiTheme="minorHAnsi" w:hAnsiTheme="minorHAnsi" w:cstheme="minorHAnsi"/>
          <w:noProof/>
          <w:sz w:val="22"/>
        </w:rPr>
        <w:t xml:space="preserve"> et al., 2008</w:t>
      </w:r>
      <w:r w:rsidR="00DA15D9" w:rsidRPr="00B667C4">
        <w:rPr>
          <w:rFonts w:asciiTheme="minorHAnsi" w:hAnsiTheme="minorHAnsi" w:cstheme="minorHAnsi"/>
          <w:sz w:val="22"/>
        </w:rPr>
        <w:fldChar w:fldCharType="end"/>
      </w:r>
      <w:r w:rsidR="00457F1E" w:rsidRPr="00B667C4">
        <w:rPr>
          <w:rFonts w:asciiTheme="minorHAnsi" w:hAnsiTheme="minorHAnsi" w:cstheme="minorHAnsi"/>
          <w:sz w:val="22"/>
        </w:rPr>
        <w:t xml:space="preserve">; </w:t>
      </w:r>
      <w:r w:rsidR="00DA15D9" w:rsidRPr="00B667C4">
        <w:rPr>
          <w:rFonts w:asciiTheme="minorHAnsi" w:hAnsiTheme="minorHAnsi" w:cstheme="minorHAnsi"/>
          <w:sz w:val="22"/>
        </w:rPr>
        <w:fldChar w:fldCharType="begin"/>
      </w:r>
      <w:r w:rsidR="00DA15D9" w:rsidRPr="00B667C4">
        <w:rPr>
          <w:rFonts w:asciiTheme="minorHAnsi" w:hAnsiTheme="minorHAnsi" w:cstheme="minorHAnsi"/>
          <w:sz w:val="22"/>
        </w:rPr>
        <w:instrText xml:space="preserve"> ADDIN ZOTERO_ITEM CSL_CITATION {"citationID":"nrgClybv","properties":{"formattedCitation":"(Hollweg et al., 2015)","plainCitation":"(Hollweg et al., 2015)"},"citationItems":[{"id":123,"uris":["http://zotero.org/users/local/vXhuNJtZ/items/HV46BBGV"],"uri":["http://zotero.org/users/local/vXhuNJtZ/items/HV46BBGV"],"itemData":{"id":123,"type":"report","title":"Valuing services in trade : a toolkit for competitiveness diagnostics","publisher":"The World Bank","page":"1-171","source":"documents.worldbank.org","abstract":"The Service Trade Competitiveness Diagnostic (STDC) Toolkit is part of a larger agenda of trade competitiveness work developed by the World Bank's International Trade Unit in recent years. Services are a key input in countries' trade competitiveness, as well as a new source of trade diversification, making it critical to understand what factors and main constraints matter most for services competitiveness. The Toolkit provides a framework, guidelines, and set of practical tools to conduct a thorough analysis and diagnostic of trade competitiveness in the services sector with a methodology that sheds light on a country's ability both to export services and improve its export performance through policy change. This Toolkit is designed to be used in a modular way. Either a full country diagnostic can be undertaken or various parts of the toolkit can be used to address specific questions of interest, whether they pertain to existing services performance, the potential for expansion and growth in services trade, or policy options to increase competitiveness in services trade. The output of an STCD can be used to assess either the overall performance of a country's services sector or the performance of individual sub-sectors. This Toolkit complements the analytical framework for trade in goods provided by the Trade Competitiveness Diagnostic Toolkit (World Bank, 2012), and allows policymakers and experts in developing countries to better integrate services into their overall trade strategies. In addition, it will also be of interest to international organizations and development practitioners in both policymaking institutions and academia.","URL":"http://documents.worldbank.org/curated/en/2015/01/23811491/valuing-services-trade-toolkit-competitiveness-diagnostics","number":"93714","shortTitle":"Valuing services in trade","language":"en","author":[{"family":"Hollweg","given":"Claire Honore"},{"family":"Saez","given":"Juan Sebastian"},{"family":"Taglioni","given":"Daria"},{"family":"Marel","given":"Van Der"},{"family":"Leendert","given":"Erik"},{"family":"Zavacka","given":"Veronika"}],"issued":{"date-parts":[["2015",1,14]],"season":"00:00:00"},"accessed":{"date-parts":[["2016",4,8]]}}}],"schema":"https://github.com/citation-style-language/schema/raw/master/csl-citation.json"} </w:instrText>
      </w:r>
      <w:r w:rsidR="00DA15D9" w:rsidRPr="00B667C4">
        <w:rPr>
          <w:rFonts w:asciiTheme="minorHAnsi" w:hAnsiTheme="minorHAnsi" w:cstheme="minorHAnsi"/>
          <w:sz w:val="22"/>
        </w:rPr>
        <w:fldChar w:fldCharType="end"/>
      </w:r>
      <w:r w:rsidR="00DA15D9" w:rsidRPr="00B667C4">
        <w:rPr>
          <w:rFonts w:asciiTheme="minorHAnsi" w:hAnsiTheme="minorHAnsi" w:cstheme="minorHAnsi"/>
          <w:sz w:val="22"/>
        </w:rPr>
        <w:t>Saez et al., 2015), much of what is known about the way trade occurs, the policies that affect services exchange, the location of production (investment) and the characteristics of firms producing and consuming services is based on studies of developed economies</w:t>
      </w:r>
      <w:r w:rsidRPr="00B667C4">
        <w:rPr>
          <w:rFonts w:asciiTheme="minorHAnsi" w:hAnsiTheme="minorHAnsi" w:cstheme="minorHAnsi"/>
          <w:sz w:val="22"/>
        </w:rPr>
        <w:t xml:space="preserve">. </w:t>
      </w:r>
      <w:r w:rsidR="00DA15D9" w:rsidRPr="00B667C4">
        <w:rPr>
          <w:rFonts w:asciiTheme="minorHAnsi" w:hAnsiTheme="minorHAnsi" w:cstheme="minorHAnsi"/>
          <w:sz w:val="22"/>
        </w:rPr>
        <w:t xml:space="preserve">This literature has generated findings that apply to developing country contexts as well, </w:t>
      </w:r>
      <w:r w:rsidR="00C622B6" w:rsidRPr="00B667C4">
        <w:rPr>
          <w:rFonts w:asciiTheme="minorHAnsi" w:hAnsiTheme="minorHAnsi" w:cstheme="minorHAnsi"/>
          <w:sz w:val="22"/>
        </w:rPr>
        <w:t xml:space="preserve">for example </w:t>
      </w:r>
      <w:r w:rsidR="00DA15D9" w:rsidRPr="00B667C4">
        <w:rPr>
          <w:rFonts w:asciiTheme="minorHAnsi" w:hAnsiTheme="minorHAnsi" w:cstheme="minorHAnsi"/>
          <w:sz w:val="22"/>
        </w:rPr>
        <w:t xml:space="preserve">that firm heterogeneity plays an important role in shaping patterns of services trade, and that FDI is </w:t>
      </w:r>
      <w:r w:rsidR="00563EC1" w:rsidRPr="00B667C4">
        <w:rPr>
          <w:rFonts w:asciiTheme="minorHAnsi" w:hAnsiTheme="minorHAnsi" w:cstheme="minorHAnsi"/>
          <w:sz w:val="22"/>
        </w:rPr>
        <w:t xml:space="preserve">the major </w:t>
      </w:r>
      <w:r w:rsidR="00DA15D9" w:rsidRPr="00B667C4">
        <w:rPr>
          <w:rFonts w:asciiTheme="minorHAnsi" w:hAnsiTheme="minorHAnsi" w:cstheme="minorHAnsi"/>
          <w:sz w:val="22"/>
        </w:rPr>
        <w:t xml:space="preserve">channel for </w:t>
      </w:r>
      <w:r w:rsidR="00563EC1" w:rsidRPr="00B667C4">
        <w:rPr>
          <w:rFonts w:asciiTheme="minorHAnsi" w:hAnsiTheme="minorHAnsi" w:cstheme="minorHAnsi"/>
          <w:sz w:val="22"/>
        </w:rPr>
        <w:t xml:space="preserve">service provision by foreign firms. </w:t>
      </w:r>
      <w:r w:rsidR="00B60159" w:rsidRPr="00B667C4">
        <w:rPr>
          <w:rFonts w:asciiTheme="minorHAnsi" w:hAnsiTheme="minorHAnsi" w:cstheme="minorHAnsi"/>
          <w:color w:val="000000"/>
          <w:sz w:val="22"/>
        </w:rPr>
        <w:t xml:space="preserve">FDI is a particularly important </w:t>
      </w:r>
      <w:r w:rsidR="00563EC1" w:rsidRPr="00B667C4">
        <w:rPr>
          <w:rFonts w:asciiTheme="minorHAnsi" w:hAnsiTheme="minorHAnsi" w:cstheme="minorHAnsi"/>
          <w:color w:val="000000"/>
          <w:sz w:val="22"/>
        </w:rPr>
        <w:t xml:space="preserve">as a mechanism </w:t>
      </w:r>
      <w:r w:rsidR="00B60159" w:rsidRPr="00B667C4">
        <w:rPr>
          <w:rFonts w:asciiTheme="minorHAnsi" w:hAnsiTheme="minorHAnsi" w:cstheme="minorHAnsi"/>
          <w:color w:val="000000"/>
          <w:sz w:val="22"/>
        </w:rPr>
        <w:t xml:space="preserve">for </w:t>
      </w:r>
      <w:r w:rsidR="00563EC1" w:rsidRPr="00B667C4">
        <w:rPr>
          <w:rFonts w:asciiTheme="minorHAnsi" w:hAnsiTheme="minorHAnsi" w:cstheme="minorHAnsi"/>
          <w:color w:val="000000"/>
          <w:sz w:val="22"/>
        </w:rPr>
        <w:t xml:space="preserve">technology </w:t>
      </w:r>
      <w:r w:rsidR="00B60159" w:rsidRPr="00B667C4">
        <w:rPr>
          <w:rFonts w:asciiTheme="minorHAnsi" w:hAnsiTheme="minorHAnsi" w:cstheme="minorHAnsi"/>
          <w:color w:val="000000"/>
          <w:sz w:val="22"/>
        </w:rPr>
        <w:t xml:space="preserve">transfer </w:t>
      </w:r>
      <w:r w:rsidR="00563EC1" w:rsidRPr="00B667C4">
        <w:rPr>
          <w:rFonts w:asciiTheme="minorHAnsi" w:hAnsiTheme="minorHAnsi" w:cstheme="minorHAnsi"/>
          <w:color w:val="000000"/>
          <w:sz w:val="22"/>
        </w:rPr>
        <w:t xml:space="preserve">and diffusion of </w:t>
      </w:r>
      <w:r w:rsidR="00B60159" w:rsidRPr="00B667C4">
        <w:rPr>
          <w:rFonts w:asciiTheme="minorHAnsi" w:hAnsiTheme="minorHAnsi" w:cstheme="minorHAnsi"/>
          <w:color w:val="000000"/>
          <w:sz w:val="22"/>
        </w:rPr>
        <w:t>knowledge and know-how, as well as a me</w:t>
      </w:r>
      <w:r w:rsidR="00563EC1" w:rsidRPr="00B667C4">
        <w:rPr>
          <w:rFonts w:asciiTheme="minorHAnsi" w:hAnsiTheme="minorHAnsi" w:cstheme="minorHAnsi"/>
          <w:color w:val="000000"/>
          <w:sz w:val="22"/>
        </w:rPr>
        <w:t xml:space="preserve">ans </w:t>
      </w:r>
      <w:r w:rsidR="00B60159" w:rsidRPr="00B667C4">
        <w:rPr>
          <w:rFonts w:asciiTheme="minorHAnsi" w:hAnsiTheme="minorHAnsi" w:cstheme="minorHAnsi"/>
          <w:color w:val="000000"/>
          <w:sz w:val="22"/>
        </w:rPr>
        <w:t>through which higher quality, lower cost services improve total factor productivity of firms that use services relatively more intensively</w:t>
      </w:r>
      <w:r w:rsidR="007B13B4" w:rsidRPr="00B667C4">
        <w:rPr>
          <w:rFonts w:asciiTheme="minorHAnsi" w:hAnsiTheme="minorHAnsi" w:cstheme="minorHAnsi"/>
          <w:color w:val="000000"/>
          <w:sz w:val="22"/>
        </w:rPr>
        <w:t>.</w:t>
      </w:r>
      <w:r w:rsidR="009F3C0D" w:rsidRPr="00B667C4">
        <w:rPr>
          <w:rFonts w:asciiTheme="minorHAnsi" w:hAnsiTheme="minorHAnsi" w:cstheme="minorHAnsi"/>
          <w:color w:val="000000"/>
          <w:sz w:val="22"/>
        </w:rPr>
        <w:t xml:space="preserve"> </w:t>
      </w:r>
    </w:p>
    <w:p w14:paraId="483124E3" w14:textId="3503FDBA" w:rsidR="00247D49" w:rsidRPr="00B667C4" w:rsidRDefault="008E4EE7" w:rsidP="009502DD">
      <w:pPr>
        <w:spacing w:after="120" w:line="276" w:lineRule="auto"/>
        <w:rPr>
          <w:rFonts w:asciiTheme="minorHAnsi" w:hAnsiTheme="minorHAnsi" w:cstheme="minorHAnsi"/>
          <w:sz w:val="22"/>
        </w:rPr>
      </w:pPr>
      <w:r w:rsidRPr="00B667C4">
        <w:rPr>
          <w:rFonts w:asciiTheme="minorHAnsi" w:hAnsiTheme="minorHAnsi" w:cstheme="minorHAnsi"/>
          <w:color w:val="000000"/>
          <w:sz w:val="22"/>
        </w:rPr>
        <w:t>A</w:t>
      </w:r>
      <w:r w:rsidR="002470C8" w:rsidRPr="00B667C4">
        <w:rPr>
          <w:rFonts w:asciiTheme="minorHAnsi" w:hAnsiTheme="minorHAnsi" w:cstheme="minorHAnsi"/>
          <w:color w:val="000000"/>
          <w:sz w:val="22"/>
        </w:rPr>
        <w:t xml:space="preserve"> positive association between policy reforms in services and inward FDI in services, and between total factor productivity (TFP) growth performance of downstream firms and FDI is perhaps the most robust finding to emerge from the empirical research on the impacts of services </w:t>
      </w:r>
      <w:r w:rsidR="009F3C0D" w:rsidRPr="00B667C4">
        <w:rPr>
          <w:rFonts w:asciiTheme="minorHAnsi" w:hAnsiTheme="minorHAnsi" w:cstheme="minorHAnsi"/>
          <w:color w:val="000000"/>
          <w:sz w:val="22"/>
        </w:rPr>
        <w:t>trade policies</w:t>
      </w:r>
      <w:r w:rsidR="000B500C" w:rsidRPr="00B667C4">
        <w:rPr>
          <w:rFonts w:asciiTheme="minorHAnsi" w:hAnsiTheme="minorHAnsi" w:cstheme="minorHAnsi"/>
          <w:color w:val="000000"/>
          <w:sz w:val="22"/>
        </w:rPr>
        <w:t xml:space="preserve"> (</w:t>
      </w:r>
      <w:r w:rsidR="000B500C" w:rsidRPr="00B667C4">
        <w:rPr>
          <w:rFonts w:asciiTheme="minorHAnsi" w:hAnsiTheme="minorHAnsi" w:cstheme="minorHAnsi"/>
          <w:sz w:val="22"/>
        </w:rPr>
        <w:t>Francois and Hoekman, 2010</w:t>
      </w:r>
      <w:r w:rsidR="00563EC1" w:rsidRPr="00B667C4">
        <w:rPr>
          <w:rFonts w:asciiTheme="minorHAnsi" w:hAnsiTheme="minorHAnsi" w:cstheme="minorHAnsi"/>
          <w:sz w:val="22"/>
        </w:rPr>
        <w:t>)</w:t>
      </w:r>
      <w:r w:rsidR="000B500C" w:rsidRPr="00B667C4">
        <w:rPr>
          <w:rFonts w:asciiTheme="minorHAnsi" w:hAnsiTheme="minorHAnsi" w:cstheme="minorHAnsi"/>
          <w:sz w:val="22"/>
        </w:rPr>
        <w:t>.</w:t>
      </w:r>
      <w:r w:rsidR="00B7096C">
        <w:rPr>
          <w:rFonts w:asciiTheme="minorHAnsi" w:hAnsiTheme="minorHAnsi" w:cstheme="minorHAnsi"/>
          <w:sz w:val="22"/>
        </w:rPr>
        <w:t xml:space="preserve"> </w:t>
      </w:r>
      <w:r w:rsidR="00C622B6" w:rsidRPr="00B667C4">
        <w:rPr>
          <w:rFonts w:asciiTheme="minorHAnsi" w:hAnsiTheme="minorHAnsi" w:cstheme="minorHAnsi"/>
          <w:color w:val="000000"/>
          <w:sz w:val="22"/>
        </w:rPr>
        <w:t>An implication is that policies that restrict trade and investment in services will have negative effects on economic performance</w:t>
      </w:r>
      <w:r w:rsidR="000B500C" w:rsidRPr="00B667C4">
        <w:rPr>
          <w:rFonts w:asciiTheme="minorHAnsi" w:eastAsia="MyriadPro-Regular" w:hAnsiTheme="minorHAnsi" w:cstheme="minorHAnsi"/>
          <w:color w:val="000000"/>
          <w:sz w:val="22"/>
        </w:rPr>
        <w:t>.</w:t>
      </w:r>
      <w:r w:rsidR="00C622B6" w:rsidRPr="00B667C4">
        <w:rPr>
          <w:rFonts w:asciiTheme="minorHAnsi" w:eastAsia="MyriadPro-Regular" w:hAnsiTheme="minorHAnsi" w:cstheme="minorHAnsi"/>
          <w:color w:val="000000"/>
          <w:sz w:val="22"/>
        </w:rPr>
        <w:t xml:space="preserve"> </w:t>
      </w:r>
      <w:r w:rsidR="000B500C" w:rsidRPr="00B667C4">
        <w:rPr>
          <w:rFonts w:asciiTheme="minorHAnsi" w:hAnsiTheme="minorHAnsi" w:cstheme="minorHAnsi"/>
          <w:color w:val="000000"/>
          <w:sz w:val="22"/>
        </w:rPr>
        <w:t>Borchert et al. (2015), for example, note that many landlocked African countries restrict trade in services that are particularly important for overall trade performance – e.g., on average air-transport policies are significantly more restrictive than in other countries, reducing connectivity with the rest of the world. The consequence is more concentrated market structures</w:t>
      </w:r>
      <w:r w:rsidR="00563EC1" w:rsidRPr="00B667C4">
        <w:rPr>
          <w:rFonts w:asciiTheme="minorHAnsi" w:hAnsiTheme="minorHAnsi" w:cstheme="minorHAnsi"/>
          <w:color w:val="000000"/>
          <w:sz w:val="22"/>
        </w:rPr>
        <w:t>, higher prices</w:t>
      </w:r>
      <w:r w:rsidR="000B500C" w:rsidRPr="00B667C4">
        <w:rPr>
          <w:rFonts w:asciiTheme="minorHAnsi" w:hAnsiTheme="minorHAnsi" w:cstheme="minorHAnsi"/>
          <w:color w:val="000000"/>
          <w:sz w:val="22"/>
        </w:rPr>
        <w:t xml:space="preserve"> and less access to transport services. </w:t>
      </w:r>
      <w:r w:rsidR="00563EC1" w:rsidRPr="00B667C4">
        <w:rPr>
          <w:rFonts w:asciiTheme="minorHAnsi" w:hAnsiTheme="minorHAnsi" w:cstheme="minorHAnsi"/>
          <w:color w:val="000000"/>
          <w:sz w:val="22"/>
        </w:rPr>
        <w:t>They estimate that e</w:t>
      </w:r>
      <w:r w:rsidR="000B500C" w:rsidRPr="00B667C4">
        <w:rPr>
          <w:rFonts w:asciiTheme="minorHAnsi" w:hAnsiTheme="minorHAnsi" w:cstheme="minorHAnsi"/>
          <w:color w:val="000000"/>
          <w:sz w:val="22"/>
        </w:rPr>
        <w:t xml:space="preserve">ven moderate liberalization of air transportation services by landlocked Sub-Saharan countries could generate a 20 percent increase in the number of flights. </w:t>
      </w:r>
      <w:r w:rsidR="00B7096C" w:rsidRPr="00B667C4">
        <w:rPr>
          <w:rFonts w:asciiTheme="minorHAnsi" w:hAnsiTheme="minorHAnsi" w:cstheme="minorHAnsi"/>
          <w:color w:val="2A2A2A"/>
          <w:sz w:val="22"/>
          <w:shd w:val="clear" w:color="auto" w:fill="FFFFFF"/>
        </w:rPr>
        <w:t>Balistreri</w:t>
      </w:r>
      <w:r w:rsidR="00B7096C">
        <w:rPr>
          <w:rFonts w:asciiTheme="minorHAnsi" w:hAnsiTheme="minorHAnsi" w:cstheme="minorHAnsi"/>
          <w:color w:val="2A2A2A"/>
          <w:sz w:val="22"/>
          <w:shd w:val="clear" w:color="auto" w:fill="FFFFFF"/>
        </w:rPr>
        <w:t xml:space="preserve">, </w:t>
      </w:r>
      <w:r w:rsidR="00B7096C" w:rsidRPr="00B667C4">
        <w:rPr>
          <w:rFonts w:asciiTheme="minorHAnsi" w:hAnsiTheme="minorHAnsi" w:cstheme="minorHAnsi"/>
          <w:color w:val="2A2A2A"/>
          <w:sz w:val="22"/>
          <w:shd w:val="clear" w:color="auto" w:fill="FFFFFF"/>
        </w:rPr>
        <w:t>Tarr and Yonezawa</w:t>
      </w:r>
      <w:r w:rsidR="00B7096C">
        <w:rPr>
          <w:rFonts w:asciiTheme="minorHAnsi" w:hAnsiTheme="minorHAnsi" w:cstheme="minorHAnsi"/>
          <w:color w:val="2A2A2A"/>
          <w:sz w:val="22"/>
          <w:shd w:val="clear" w:color="auto" w:fill="FFFFFF"/>
        </w:rPr>
        <w:t xml:space="preserve"> (</w:t>
      </w:r>
      <w:r w:rsidR="00B7096C" w:rsidRPr="00B667C4">
        <w:rPr>
          <w:rFonts w:asciiTheme="minorHAnsi" w:hAnsiTheme="minorHAnsi" w:cstheme="minorHAnsi"/>
          <w:color w:val="2A2A2A"/>
          <w:sz w:val="22"/>
          <w:shd w:val="clear" w:color="auto" w:fill="FFFFFF"/>
        </w:rPr>
        <w:t>2015</w:t>
      </w:r>
      <w:r w:rsidR="00B7096C">
        <w:rPr>
          <w:rFonts w:asciiTheme="minorHAnsi" w:hAnsiTheme="minorHAnsi" w:cstheme="minorHAnsi"/>
          <w:color w:val="2A2A2A"/>
          <w:sz w:val="22"/>
          <w:shd w:val="clear" w:color="auto" w:fill="FFFFFF"/>
        </w:rPr>
        <w:t xml:space="preserve">) focus on the specific case of deeper integration between African RECs and explicitly include barriers to FDI in services as well trade costs (trade facilitation) in their analysis. They show that these drive most of the potential gains from greater integration, although the effects of different policy reforms vary across African countries – pointing to the importance of putting in place mechanisms to interact with the business community to identify priority areas for action. </w:t>
      </w:r>
      <w:r w:rsidR="000B500C" w:rsidRPr="00B667C4">
        <w:rPr>
          <w:rFonts w:asciiTheme="minorHAnsi" w:hAnsiTheme="minorHAnsi" w:cstheme="minorHAnsi"/>
          <w:color w:val="000000"/>
          <w:sz w:val="22"/>
        </w:rPr>
        <w:t>Miroudot and Shepherd (2016) find that a 10</w:t>
      </w:r>
      <w:r w:rsidR="00563EC1" w:rsidRPr="00B667C4">
        <w:rPr>
          <w:rFonts w:asciiTheme="minorHAnsi" w:hAnsiTheme="minorHAnsi" w:cstheme="minorHAnsi"/>
          <w:color w:val="000000"/>
          <w:sz w:val="22"/>
        </w:rPr>
        <w:t xml:space="preserve"> percent </w:t>
      </w:r>
      <w:r w:rsidR="000B500C" w:rsidRPr="00B667C4">
        <w:rPr>
          <w:rFonts w:asciiTheme="minorHAnsi" w:hAnsiTheme="minorHAnsi" w:cstheme="minorHAnsi"/>
          <w:color w:val="000000"/>
          <w:sz w:val="22"/>
        </w:rPr>
        <w:t xml:space="preserve">higher </w:t>
      </w:r>
      <w:r w:rsidR="00563EC1" w:rsidRPr="00B667C4">
        <w:rPr>
          <w:rFonts w:asciiTheme="minorHAnsi" w:hAnsiTheme="minorHAnsi" w:cstheme="minorHAnsi"/>
          <w:color w:val="000000"/>
          <w:sz w:val="22"/>
        </w:rPr>
        <w:t xml:space="preserve">average </w:t>
      </w:r>
      <w:r w:rsidR="000B500C" w:rsidRPr="00B667C4">
        <w:rPr>
          <w:rFonts w:asciiTheme="minorHAnsi" w:hAnsiTheme="minorHAnsi" w:cstheme="minorHAnsi"/>
          <w:color w:val="000000"/>
          <w:sz w:val="22"/>
        </w:rPr>
        <w:t xml:space="preserve">level of services trade restrictiveness is associated with an increase in trade costs of </w:t>
      </w:r>
      <w:r w:rsidR="00563EC1" w:rsidRPr="00B667C4">
        <w:rPr>
          <w:rFonts w:asciiTheme="minorHAnsi" w:hAnsiTheme="minorHAnsi" w:cstheme="minorHAnsi"/>
          <w:color w:val="000000"/>
          <w:sz w:val="22"/>
        </w:rPr>
        <w:t>around 3 percent (</w:t>
      </w:r>
      <w:r w:rsidR="000B500C" w:rsidRPr="00B667C4">
        <w:rPr>
          <w:rFonts w:asciiTheme="minorHAnsi" w:hAnsiTheme="minorHAnsi" w:cstheme="minorHAnsi"/>
          <w:color w:val="000000"/>
          <w:sz w:val="22"/>
        </w:rPr>
        <w:t>using trade costs</w:t>
      </w:r>
      <w:r w:rsidR="00563EC1" w:rsidRPr="00B667C4">
        <w:rPr>
          <w:rFonts w:asciiTheme="minorHAnsi" w:hAnsiTheme="minorHAnsi" w:cstheme="minorHAnsi"/>
          <w:color w:val="000000"/>
          <w:sz w:val="22"/>
        </w:rPr>
        <w:t xml:space="preserve"> data compiled by Arvis et al. </w:t>
      </w:r>
      <w:r w:rsidR="000B500C" w:rsidRPr="00B667C4">
        <w:rPr>
          <w:rFonts w:asciiTheme="minorHAnsi" w:hAnsiTheme="minorHAnsi" w:cstheme="minorHAnsi"/>
          <w:color w:val="000000"/>
          <w:sz w:val="22"/>
        </w:rPr>
        <w:t>201</w:t>
      </w:r>
      <w:r w:rsidR="00A00DE0">
        <w:rPr>
          <w:rFonts w:asciiTheme="minorHAnsi" w:hAnsiTheme="minorHAnsi" w:cstheme="minorHAnsi"/>
          <w:color w:val="000000"/>
          <w:sz w:val="22"/>
        </w:rPr>
        <w:t>6</w:t>
      </w:r>
      <w:r w:rsidR="000B500C" w:rsidRPr="00B667C4">
        <w:rPr>
          <w:rFonts w:asciiTheme="minorHAnsi" w:hAnsiTheme="minorHAnsi" w:cstheme="minorHAnsi"/>
          <w:color w:val="000000"/>
          <w:sz w:val="22"/>
        </w:rPr>
        <w:t xml:space="preserve">). </w:t>
      </w:r>
      <w:r w:rsidR="00563EC1" w:rsidRPr="00B667C4">
        <w:rPr>
          <w:rFonts w:asciiTheme="minorHAnsi" w:hAnsiTheme="minorHAnsi" w:cstheme="minorHAnsi"/>
          <w:color w:val="000000"/>
          <w:sz w:val="22"/>
        </w:rPr>
        <w:t xml:space="preserve">The effect on trade in </w:t>
      </w:r>
      <w:r w:rsidR="000B500C" w:rsidRPr="00B667C4">
        <w:rPr>
          <w:rFonts w:asciiTheme="minorHAnsi" w:hAnsiTheme="minorHAnsi" w:cstheme="minorHAnsi"/>
          <w:color w:val="000000"/>
          <w:sz w:val="22"/>
        </w:rPr>
        <w:t xml:space="preserve">intermediate </w:t>
      </w:r>
      <w:r w:rsidR="00563EC1" w:rsidRPr="00B667C4">
        <w:rPr>
          <w:rFonts w:asciiTheme="minorHAnsi" w:hAnsiTheme="minorHAnsi" w:cstheme="minorHAnsi"/>
          <w:color w:val="000000"/>
          <w:sz w:val="22"/>
        </w:rPr>
        <w:t xml:space="preserve">products </w:t>
      </w:r>
      <w:r w:rsidR="000B500C" w:rsidRPr="00B667C4">
        <w:rPr>
          <w:rFonts w:asciiTheme="minorHAnsi" w:hAnsiTheme="minorHAnsi" w:cstheme="minorHAnsi"/>
          <w:color w:val="000000"/>
          <w:sz w:val="22"/>
        </w:rPr>
        <w:t xml:space="preserve">is larger than </w:t>
      </w:r>
      <w:r w:rsidR="00563EC1" w:rsidRPr="00B667C4">
        <w:rPr>
          <w:rFonts w:asciiTheme="minorHAnsi" w:hAnsiTheme="minorHAnsi" w:cstheme="minorHAnsi"/>
          <w:color w:val="000000"/>
          <w:sz w:val="22"/>
        </w:rPr>
        <w:t xml:space="preserve">for </w:t>
      </w:r>
      <w:r w:rsidR="000B500C" w:rsidRPr="00B667C4">
        <w:rPr>
          <w:rFonts w:asciiTheme="minorHAnsi" w:hAnsiTheme="minorHAnsi" w:cstheme="minorHAnsi"/>
          <w:color w:val="000000"/>
          <w:sz w:val="22"/>
        </w:rPr>
        <w:t xml:space="preserve">final </w:t>
      </w:r>
      <w:r w:rsidR="00563EC1" w:rsidRPr="00B667C4">
        <w:rPr>
          <w:rFonts w:asciiTheme="minorHAnsi" w:hAnsiTheme="minorHAnsi" w:cstheme="minorHAnsi"/>
          <w:color w:val="000000"/>
          <w:sz w:val="22"/>
        </w:rPr>
        <w:t>products</w:t>
      </w:r>
      <w:r w:rsidR="000B500C" w:rsidRPr="00B667C4">
        <w:rPr>
          <w:rFonts w:asciiTheme="minorHAnsi" w:hAnsiTheme="minorHAnsi" w:cstheme="minorHAnsi"/>
          <w:color w:val="000000"/>
          <w:sz w:val="22"/>
        </w:rPr>
        <w:t xml:space="preserve">. </w:t>
      </w:r>
      <w:r w:rsidR="007D3F4B" w:rsidRPr="00B667C4">
        <w:rPr>
          <w:rFonts w:asciiTheme="minorHAnsi" w:hAnsiTheme="minorHAnsi" w:cstheme="minorHAnsi"/>
          <w:sz w:val="22"/>
        </w:rPr>
        <w:fldChar w:fldCharType="begin"/>
      </w:r>
      <w:r w:rsidR="007D3F4B" w:rsidRPr="00B667C4">
        <w:rPr>
          <w:rFonts w:asciiTheme="minorHAnsi" w:hAnsiTheme="minorHAnsi" w:cstheme="minorHAnsi"/>
          <w:sz w:val="22"/>
        </w:rPr>
        <w:instrText xml:space="preserve"> ADDIN ZOTERO_ITEM CSL_CITATION {"citationID":"ZBGWx0s8","properties":{"formattedCitation":"(Hoekman and Shepherd, forthcoming)","plainCitation":"(Hoekman and Shepherd, forthcoming)"},"citationItems":[{"id":63,"uris":["http://zotero.org/users/local/vXhuNJtZ/items/2WHIH35G"],"uri":["http://zotero.org/users/local/vXhuNJtZ/items/2WHIH35G"],"itemData":{"id":63,"type":"article-journal","title":"Services Productivity, Trade Policy, and Manufacturing Exports","container-title":"The World Economy","author":[{"family":"Hoekman","given":"Bernard"},{"family":"Shepherd","given":"Benjamin"}],"issued":{"literal":"forthcoming"}}}],"schema":"https://github.com/citation-style-language/schema/raw/master/csl-citation.json"} </w:instrText>
      </w:r>
      <w:r w:rsidR="007D3F4B" w:rsidRPr="00B667C4">
        <w:rPr>
          <w:rFonts w:asciiTheme="minorHAnsi" w:hAnsiTheme="minorHAnsi" w:cstheme="minorHAnsi"/>
          <w:sz w:val="22"/>
        </w:rPr>
        <w:fldChar w:fldCharType="separate"/>
      </w:r>
      <w:r w:rsidR="007D3F4B" w:rsidRPr="00B667C4">
        <w:rPr>
          <w:rFonts w:asciiTheme="minorHAnsi" w:hAnsiTheme="minorHAnsi" w:cstheme="minorHAnsi"/>
          <w:noProof/>
          <w:sz w:val="22"/>
        </w:rPr>
        <w:t>Hoekman and Shepherd (201</w:t>
      </w:r>
      <w:r w:rsidR="007B1919" w:rsidRPr="00B667C4">
        <w:rPr>
          <w:rFonts w:asciiTheme="minorHAnsi" w:hAnsiTheme="minorHAnsi" w:cstheme="minorHAnsi"/>
          <w:noProof/>
          <w:sz w:val="22"/>
        </w:rPr>
        <w:t>5</w:t>
      </w:r>
      <w:r w:rsidR="009F3C0D" w:rsidRPr="00B667C4">
        <w:rPr>
          <w:rFonts w:asciiTheme="minorHAnsi" w:hAnsiTheme="minorHAnsi" w:cstheme="minorHAnsi"/>
          <w:noProof/>
          <w:sz w:val="22"/>
        </w:rPr>
        <w:t>b</w:t>
      </w:r>
      <w:r w:rsidR="007D3F4B" w:rsidRPr="00B667C4">
        <w:rPr>
          <w:rFonts w:asciiTheme="minorHAnsi" w:hAnsiTheme="minorHAnsi" w:cstheme="minorHAnsi"/>
          <w:noProof/>
          <w:sz w:val="22"/>
        </w:rPr>
        <w:t>)</w:t>
      </w:r>
      <w:r w:rsidR="007D3F4B" w:rsidRPr="00B667C4">
        <w:rPr>
          <w:rFonts w:asciiTheme="minorHAnsi" w:hAnsiTheme="minorHAnsi" w:cstheme="minorHAnsi"/>
          <w:sz w:val="22"/>
        </w:rPr>
        <w:fldChar w:fldCharType="end"/>
      </w:r>
      <w:r w:rsidR="007D3F4B" w:rsidRPr="00B667C4">
        <w:rPr>
          <w:rFonts w:asciiTheme="minorHAnsi" w:hAnsiTheme="minorHAnsi" w:cstheme="minorHAnsi"/>
          <w:sz w:val="22"/>
        </w:rPr>
        <w:t xml:space="preserve"> </w:t>
      </w:r>
      <w:r w:rsidR="00C622B6" w:rsidRPr="00B667C4">
        <w:rPr>
          <w:rFonts w:asciiTheme="minorHAnsi" w:hAnsiTheme="minorHAnsi" w:cstheme="minorHAnsi"/>
          <w:sz w:val="22"/>
        </w:rPr>
        <w:t>show that s</w:t>
      </w:r>
      <w:r w:rsidR="00C40FC9" w:rsidRPr="00B667C4">
        <w:rPr>
          <w:rFonts w:asciiTheme="minorHAnsi" w:hAnsiTheme="minorHAnsi" w:cstheme="minorHAnsi"/>
          <w:sz w:val="22"/>
        </w:rPr>
        <w:t>ervices trade</w:t>
      </w:r>
      <w:r w:rsidR="00997C36" w:rsidRPr="00B667C4">
        <w:rPr>
          <w:rFonts w:asciiTheme="minorHAnsi" w:hAnsiTheme="minorHAnsi" w:cstheme="minorHAnsi"/>
          <w:sz w:val="22"/>
        </w:rPr>
        <w:t xml:space="preserve"> restrictiveness indices (STRI)</w:t>
      </w:r>
      <w:r w:rsidR="00120C71" w:rsidRPr="00B667C4">
        <w:rPr>
          <w:rFonts w:asciiTheme="minorHAnsi" w:hAnsiTheme="minorHAnsi" w:cstheme="minorHAnsi"/>
          <w:sz w:val="22"/>
        </w:rPr>
        <w:t xml:space="preserve"> </w:t>
      </w:r>
      <w:r w:rsidR="00C40FC9" w:rsidRPr="00B667C4">
        <w:rPr>
          <w:rFonts w:asciiTheme="minorHAnsi" w:hAnsiTheme="minorHAnsi" w:cstheme="minorHAnsi"/>
          <w:sz w:val="22"/>
        </w:rPr>
        <w:t>compiled by the World Bank (Borchert et al., 201</w:t>
      </w:r>
      <w:r w:rsidR="009F3C0D" w:rsidRPr="00B667C4">
        <w:rPr>
          <w:rFonts w:asciiTheme="minorHAnsi" w:hAnsiTheme="minorHAnsi" w:cstheme="minorHAnsi"/>
          <w:sz w:val="22"/>
        </w:rPr>
        <w:t>4</w:t>
      </w:r>
      <w:r w:rsidR="00C40FC9" w:rsidRPr="00B667C4">
        <w:rPr>
          <w:rFonts w:asciiTheme="minorHAnsi" w:hAnsiTheme="minorHAnsi" w:cstheme="minorHAnsi"/>
          <w:sz w:val="22"/>
        </w:rPr>
        <w:t>)</w:t>
      </w:r>
      <w:r w:rsidR="007B13B4" w:rsidRPr="00B667C4">
        <w:rPr>
          <w:rFonts w:asciiTheme="minorHAnsi" w:hAnsiTheme="minorHAnsi" w:cstheme="minorHAnsi"/>
          <w:sz w:val="22"/>
        </w:rPr>
        <w:t xml:space="preserve"> </w:t>
      </w:r>
      <w:r w:rsidR="00C622B6" w:rsidRPr="00B667C4">
        <w:rPr>
          <w:rFonts w:asciiTheme="minorHAnsi" w:hAnsiTheme="minorHAnsi" w:cstheme="minorHAnsi"/>
          <w:sz w:val="22"/>
        </w:rPr>
        <w:t xml:space="preserve">are negatively associated with </w:t>
      </w:r>
      <w:r w:rsidR="00C40FC9" w:rsidRPr="00B667C4">
        <w:rPr>
          <w:rFonts w:asciiTheme="minorHAnsi" w:hAnsiTheme="minorHAnsi" w:cstheme="minorHAnsi"/>
          <w:sz w:val="22"/>
        </w:rPr>
        <w:t>manufactured exports performance. A 10</w:t>
      </w:r>
      <w:r w:rsidR="00C622B6" w:rsidRPr="00B667C4">
        <w:rPr>
          <w:rFonts w:asciiTheme="minorHAnsi" w:hAnsiTheme="minorHAnsi" w:cstheme="minorHAnsi"/>
          <w:sz w:val="22"/>
        </w:rPr>
        <w:t xml:space="preserve"> percent</w:t>
      </w:r>
      <w:r w:rsidR="00C40FC9" w:rsidRPr="00B667C4">
        <w:rPr>
          <w:rFonts w:asciiTheme="minorHAnsi" w:hAnsiTheme="minorHAnsi" w:cstheme="minorHAnsi"/>
          <w:sz w:val="22"/>
        </w:rPr>
        <w:t xml:space="preserve"> increase in the </w:t>
      </w:r>
      <w:r w:rsidR="00C622B6" w:rsidRPr="00B667C4">
        <w:rPr>
          <w:rFonts w:asciiTheme="minorHAnsi" w:hAnsiTheme="minorHAnsi" w:cstheme="minorHAnsi"/>
          <w:sz w:val="22"/>
        </w:rPr>
        <w:t xml:space="preserve">average STRI </w:t>
      </w:r>
      <w:r w:rsidR="00C40FC9" w:rsidRPr="00B667C4">
        <w:rPr>
          <w:rFonts w:asciiTheme="minorHAnsi" w:hAnsiTheme="minorHAnsi" w:cstheme="minorHAnsi"/>
          <w:sz w:val="22"/>
        </w:rPr>
        <w:t>is associated with a 5</w:t>
      </w:r>
      <w:r w:rsidR="00C622B6" w:rsidRPr="00B667C4">
        <w:rPr>
          <w:rFonts w:asciiTheme="minorHAnsi" w:hAnsiTheme="minorHAnsi" w:cstheme="minorHAnsi"/>
          <w:sz w:val="22"/>
        </w:rPr>
        <w:t xml:space="preserve"> percent</w:t>
      </w:r>
      <w:r w:rsidR="00C40FC9" w:rsidRPr="00B667C4">
        <w:rPr>
          <w:rFonts w:asciiTheme="minorHAnsi" w:hAnsiTheme="minorHAnsi" w:cstheme="minorHAnsi"/>
          <w:sz w:val="22"/>
        </w:rPr>
        <w:t xml:space="preserve"> decrease in bilateral trade in manufactured goods.</w:t>
      </w:r>
      <w:r w:rsidR="00FA4BD6" w:rsidRPr="00B667C4">
        <w:rPr>
          <w:rStyle w:val="FootnoteReference"/>
          <w:rFonts w:asciiTheme="minorHAnsi" w:hAnsiTheme="minorHAnsi" w:cstheme="minorHAnsi"/>
          <w:sz w:val="22"/>
        </w:rPr>
        <w:footnoteReference w:id="7"/>
      </w:r>
      <w:r w:rsidR="006756F1">
        <w:rPr>
          <w:rFonts w:asciiTheme="minorHAnsi" w:hAnsiTheme="minorHAnsi" w:cstheme="minorHAnsi"/>
          <w:sz w:val="22"/>
        </w:rPr>
        <w:t xml:space="preserve"> </w:t>
      </w:r>
    </w:p>
    <w:p w14:paraId="18D5DF0E" w14:textId="37619202" w:rsidR="007D3F4B" w:rsidRDefault="002470C8" w:rsidP="003163C6">
      <w:pPr>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Beverelli, Fiorini and Hoekman (201</w:t>
      </w:r>
      <w:r w:rsidR="00BE7886" w:rsidRPr="00B667C4">
        <w:rPr>
          <w:rFonts w:asciiTheme="minorHAnsi" w:hAnsiTheme="minorHAnsi" w:cstheme="minorHAnsi"/>
          <w:color w:val="000000"/>
          <w:sz w:val="22"/>
        </w:rPr>
        <w:t>6</w:t>
      </w:r>
      <w:r w:rsidRPr="00B667C4">
        <w:rPr>
          <w:rFonts w:asciiTheme="minorHAnsi" w:hAnsiTheme="minorHAnsi" w:cstheme="minorHAnsi"/>
          <w:color w:val="000000"/>
          <w:sz w:val="22"/>
        </w:rPr>
        <w:t xml:space="preserve">) </w:t>
      </w:r>
      <w:r w:rsidR="00C622B6" w:rsidRPr="00B667C4">
        <w:rPr>
          <w:rFonts w:asciiTheme="minorHAnsi" w:hAnsiTheme="minorHAnsi" w:cstheme="minorHAnsi"/>
          <w:color w:val="000000"/>
          <w:sz w:val="22"/>
        </w:rPr>
        <w:t>u</w:t>
      </w:r>
      <w:r w:rsidR="0049381E" w:rsidRPr="00B667C4">
        <w:rPr>
          <w:rFonts w:asciiTheme="minorHAnsi" w:hAnsiTheme="minorHAnsi" w:cstheme="minorHAnsi"/>
          <w:color w:val="000000"/>
          <w:sz w:val="22"/>
        </w:rPr>
        <w:t xml:space="preserve">se </w:t>
      </w:r>
      <w:r w:rsidRPr="00B667C4">
        <w:rPr>
          <w:rFonts w:asciiTheme="minorHAnsi" w:hAnsiTheme="minorHAnsi" w:cstheme="minorHAnsi"/>
          <w:color w:val="000000"/>
          <w:sz w:val="22"/>
        </w:rPr>
        <w:t xml:space="preserve">industry level data </w:t>
      </w:r>
      <w:r w:rsidR="00E66793" w:rsidRPr="00B667C4">
        <w:rPr>
          <w:rFonts w:asciiTheme="minorHAnsi" w:hAnsiTheme="minorHAnsi" w:cstheme="minorHAnsi"/>
          <w:color w:val="000000"/>
          <w:sz w:val="22"/>
        </w:rPr>
        <w:t>for</w:t>
      </w:r>
      <w:r w:rsidRPr="00B667C4">
        <w:rPr>
          <w:rFonts w:asciiTheme="minorHAnsi" w:hAnsiTheme="minorHAnsi" w:cstheme="minorHAnsi"/>
          <w:color w:val="000000"/>
          <w:sz w:val="22"/>
        </w:rPr>
        <w:t xml:space="preserve"> </w:t>
      </w:r>
      <w:r w:rsidR="0049381E" w:rsidRPr="00B667C4">
        <w:rPr>
          <w:rFonts w:asciiTheme="minorHAnsi" w:hAnsiTheme="minorHAnsi" w:cstheme="minorHAnsi"/>
          <w:color w:val="000000"/>
          <w:sz w:val="22"/>
        </w:rPr>
        <w:t xml:space="preserve">58 </w:t>
      </w:r>
      <w:r w:rsidRPr="00B667C4">
        <w:rPr>
          <w:rFonts w:asciiTheme="minorHAnsi" w:hAnsiTheme="minorHAnsi" w:cstheme="minorHAnsi"/>
          <w:color w:val="000000"/>
          <w:sz w:val="22"/>
        </w:rPr>
        <w:t xml:space="preserve">countries </w:t>
      </w:r>
      <w:r w:rsidR="0049381E" w:rsidRPr="00B667C4">
        <w:rPr>
          <w:rFonts w:asciiTheme="minorHAnsi" w:hAnsiTheme="minorHAnsi" w:cstheme="minorHAnsi"/>
          <w:color w:val="000000"/>
          <w:sz w:val="22"/>
        </w:rPr>
        <w:t xml:space="preserve">to assess the </w:t>
      </w:r>
      <w:r w:rsidRPr="00B667C4">
        <w:rPr>
          <w:rFonts w:asciiTheme="minorHAnsi" w:hAnsiTheme="minorHAnsi" w:cstheme="minorHAnsi"/>
          <w:color w:val="000000"/>
          <w:sz w:val="22"/>
        </w:rPr>
        <w:t xml:space="preserve">effect of </w:t>
      </w:r>
      <w:r w:rsidR="00C622B6" w:rsidRPr="00B667C4">
        <w:rPr>
          <w:rFonts w:asciiTheme="minorHAnsi" w:hAnsiTheme="minorHAnsi" w:cstheme="minorHAnsi"/>
          <w:color w:val="000000"/>
          <w:sz w:val="22"/>
        </w:rPr>
        <w:t xml:space="preserve">STRIs </w:t>
      </w:r>
      <w:r w:rsidRPr="00B667C4">
        <w:rPr>
          <w:rFonts w:asciiTheme="minorHAnsi" w:hAnsiTheme="minorHAnsi" w:cstheme="minorHAnsi"/>
          <w:color w:val="000000"/>
          <w:sz w:val="22"/>
        </w:rPr>
        <w:t>on productivity in downstream manufacturing</w:t>
      </w:r>
      <w:r w:rsidR="009E4595" w:rsidRPr="00B667C4">
        <w:rPr>
          <w:rFonts w:asciiTheme="minorHAnsi" w:hAnsiTheme="minorHAnsi" w:cstheme="minorHAnsi"/>
          <w:color w:val="000000"/>
          <w:sz w:val="22"/>
        </w:rPr>
        <w:t xml:space="preserve"> as a function of the quality of economic </w:t>
      </w:r>
      <w:r w:rsidR="00AB4259" w:rsidRPr="00B667C4">
        <w:rPr>
          <w:rFonts w:asciiTheme="minorHAnsi" w:hAnsiTheme="minorHAnsi" w:cstheme="minorHAnsi"/>
          <w:color w:val="000000"/>
          <w:sz w:val="22"/>
        </w:rPr>
        <w:t>governance</w:t>
      </w:r>
      <w:r w:rsidR="009E4595" w:rsidRPr="00B667C4">
        <w:rPr>
          <w:rFonts w:asciiTheme="minorHAnsi" w:hAnsiTheme="minorHAnsi" w:cstheme="minorHAnsi"/>
          <w:color w:val="000000"/>
          <w:sz w:val="22"/>
        </w:rPr>
        <w:t xml:space="preserve"> that prevails in countries</w:t>
      </w:r>
      <w:r w:rsidR="00E66793" w:rsidRPr="00B667C4">
        <w:rPr>
          <w:rFonts w:asciiTheme="minorHAnsi" w:hAnsiTheme="minorHAnsi" w:cstheme="minorHAnsi"/>
          <w:color w:val="000000"/>
          <w:sz w:val="22"/>
        </w:rPr>
        <w:t>. T</w:t>
      </w:r>
      <w:r w:rsidR="00AB4259" w:rsidRPr="00B667C4">
        <w:rPr>
          <w:rFonts w:asciiTheme="minorHAnsi" w:hAnsiTheme="minorHAnsi" w:cstheme="minorHAnsi"/>
          <w:color w:val="000000"/>
          <w:sz w:val="22"/>
        </w:rPr>
        <w:t>hey find that the effect</w:t>
      </w:r>
      <w:r w:rsidR="0030462C" w:rsidRPr="00B667C4">
        <w:rPr>
          <w:rFonts w:asciiTheme="minorHAnsi" w:hAnsiTheme="minorHAnsi" w:cstheme="minorHAnsi"/>
          <w:color w:val="000000"/>
          <w:sz w:val="22"/>
        </w:rPr>
        <w:t>s</w:t>
      </w:r>
      <w:r w:rsidR="00AB4259" w:rsidRPr="00B667C4">
        <w:rPr>
          <w:rFonts w:asciiTheme="minorHAnsi" w:hAnsiTheme="minorHAnsi" w:cstheme="minorHAnsi"/>
          <w:color w:val="000000"/>
          <w:sz w:val="22"/>
        </w:rPr>
        <w:t xml:space="preserve"> of services trade restrictions are mediated by the quality of domestic economic governance. </w:t>
      </w:r>
      <w:r w:rsidR="009E4595" w:rsidRPr="00B667C4">
        <w:rPr>
          <w:rFonts w:asciiTheme="minorHAnsi" w:hAnsiTheme="minorHAnsi" w:cstheme="minorHAnsi"/>
          <w:color w:val="000000"/>
          <w:sz w:val="22"/>
        </w:rPr>
        <w:t xml:space="preserve">Countries with high STRIs are likely to benefit more from lowering barriers to trade in services </w:t>
      </w:r>
      <w:r w:rsidR="0049381E" w:rsidRPr="00B667C4">
        <w:rPr>
          <w:rFonts w:asciiTheme="minorHAnsi" w:hAnsiTheme="minorHAnsi" w:cstheme="minorHAnsi"/>
          <w:color w:val="000000"/>
          <w:sz w:val="22"/>
        </w:rPr>
        <w:t xml:space="preserve">if the quality of </w:t>
      </w:r>
      <w:r w:rsidRPr="00B667C4">
        <w:rPr>
          <w:rFonts w:asciiTheme="minorHAnsi" w:hAnsiTheme="minorHAnsi" w:cstheme="minorHAnsi"/>
          <w:color w:val="000000"/>
          <w:sz w:val="22"/>
        </w:rPr>
        <w:t>institution</w:t>
      </w:r>
      <w:r w:rsidR="0049381E" w:rsidRPr="00B667C4">
        <w:rPr>
          <w:rFonts w:asciiTheme="minorHAnsi" w:hAnsiTheme="minorHAnsi" w:cstheme="minorHAnsi"/>
          <w:color w:val="000000"/>
          <w:sz w:val="22"/>
        </w:rPr>
        <w:t xml:space="preserve">s, as proxied by indicators such as </w:t>
      </w:r>
      <w:r w:rsidRPr="00B667C4">
        <w:rPr>
          <w:rFonts w:asciiTheme="minorHAnsi" w:hAnsiTheme="minorHAnsi" w:cstheme="minorHAnsi"/>
          <w:color w:val="000000"/>
          <w:sz w:val="22"/>
        </w:rPr>
        <w:t>control of corruption and rule of law</w:t>
      </w:r>
      <w:r w:rsidR="0049381E" w:rsidRPr="00B667C4">
        <w:rPr>
          <w:rFonts w:asciiTheme="minorHAnsi" w:hAnsiTheme="minorHAnsi" w:cstheme="minorHAnsi"/>
          <w:color w:val="000000"/>
          <w:sz w:val="22"/>
        </w:rPr>
        <w:t xml:space="preserve">, </w:t>
      </w:r>
      <w:r w:rsidR="009E4595" w:rsidRPr="00B667C4">
        <w:rPr>
          <w:rFonts w:asciiTheme="minorHAnsi" w:hAnsiTheme="minorHAnsi" w:cstheme="minorHAnsi"/>
          <w:color w:val="000000"/>
          <w:sz w:val="22"/>
        </w:rPr>
        <w:t>is good</w:t>
      </w:r>
      <w:r w:rsidRPr="00B667C4">
        <w:rPr>
          <w:rFonts w:asciiTheme="minorHAnsi" w:hAnsiTheme="minorHAnsi" w:cstheme="minorHAnsi"/>
          <w:color w:val="000000"/>
          <w:sz w:val="22"/>
        </w:rPr>
        <w:t xml:space="preserve">. </w:t>
      </w:r>
      <w:r w:rsidR="009E4595" w:rsidRPr="00B667C4">
        <w:rPr>
          <w:rFonts w:asciiTheme="minorHAnsi" w:hAnsiTheme="minorHAnsi" w:cstheme="minorHAnsi"/>
          <w:color w:val="000000"/>
          <w:sz w:val="22"/>
        </w:rPr>
        <w:t xml:space="preserve">Conversely, if economic governance is weak, a country will benefit less from reducing average STRIs. </w:t>
      </w:r>
      <w:r w:rsidR="00A06404" w:rsidRPr="00B667C4">
        <w:rPr>
          <w:rFonts w:asciiTheme="minorHAnsi" w:hAnsiTheme="minorHAnsi" w:cstheme="minorHAnsi"/>
          <w:color w:val="000000"/>
          <w:sz w:val="22"/>
        </w:rPr>
        <w:t xml:space="preserve">An explanation for the sensitivity to institutional quality is that </w:t>
      </w:r>
      <w:r w:rsidR="009E4595" w:rsidRPr="00B667C4">
        <w:rPr>
          <w:rFonts w:asciiTheme="minorHAnsi" w:hAnsiTheme="minorHAnsi" w:cstheme="minorHAnsi"/>
          <w:color w:val="000000"/>
          <w:sz w:val="22"/>
        </w:rPr>
        <w:t xml:space="preserve">provision of </w:t>
      </w:r>
      <w:r w:rsidR="00A06404" w:rsidRPr="00B667C4">
        <w:rPr>
          <w:rFonts w:asciiTheme="minorHAnsi" w:hAnsiTheme="minorHAnsi" w:cstheme="minorHAnsi"/>
          <w:color w:val="000000"/>
          <w:sz w:val="22"/>
        </w:rPr>
        <w:t xml:space="preserve">many services </w:t>
      </w:r>
      <w:r w:rsidR="009E4595" w:rsidRPr="00B667C4">
        <w:rPr>
          <w:rFonts w:asciiTheme="minorHAnsi" w:hAnsiTheme="minorHAnsi" w:cstheme="minorHAnsi"/>
          <w:color w:val="000000"/>
          <w:sz w:val="22"/>
        </w:rPr>
        <w:t xml:space="preserve">requires a physical presence so that </w:t>
      </w:r>
      <w:r w:rsidR="00A06404" w:rsidRPr="00B667C4">
        <w:rPr>
          <w:rFonts w:asciiTheme="minorHAnsi" w:hAnsiTheme="minorHAnsi" w:cstheme="minorHAnsi"/>
          <w:color w:val="000000"/>
          <w:sz w:val="22"/>
        </w:rPr>
        <w:t>foreign firms will consider the business environment they must operate in</w:t>
      </w:r>
      <w:r w:rsidR="009E4595" w:rsidRPr="00B667C4">
        <w:rPr>
          <w:rFonts w:asciiTheme="minorHAnsi" w:hAnsiTheme="minorHAnsi" w:cstheme="minorHAnsi"/>
          <w:color w:val="000000"/>
          <w:sz w:val="22"/>
        </w:rPr>
        <w:t>, and not just the level of the STRI</w:t>
      </w:r>
      <w:r w:rsidR="00A06404" w:rsidRPr="00B667C4">
        <w:rPr>
          <w:rFonts w:asciiTheme="minorHAnsi" w:hAnsiTheme="minorHAnsi" w:cstheme="minorHAnsi"/>
          <w:color w:val="000000"/>
          <w:sz w:val="22"/>
        </w:rPr>
        <w:t xml:space="preserve">. </w:t>
      </w:r>
    </w:p>
    <w:p w14:paraId="50E1401C" w14:textId="77777777" w:rsidR="006756F1" w:rsidRPr="00B667C4" w:rsidRDefault="006756F1" w:rsidP="006756F1">
      <w:pPr>
        <w:spacing w:after="120" w:line="276" w:lineRule="auto"/>
        <w:rPr>
          <w:rFonts w:asciiTheme="minorHAnsi" w:hAnsiTheme="minorHAnsi" w:cstheme="minorHAnsi"/>
          <w:color w:val="000000"/>
          <w:sz w:val="22"/>
        </w:rPr>
      </w:pPr>
      <w:r w:rsidRPr="00B667C4">
        <w:rPr>
          <w:rFonts w:asciiTheme="minorHAnsi" w:hAnsiTheme="minorHAnsi" w:cstheme="minorHAnsi"/>
          <w:color w:val="000000"/>
          <w:sz w:val="22"/>
        </w:rPr>
        <w:t>The relationship between institutional quality and STRIs is illustrated in Table 2 for seven SSA countries in the sample analysed by Beverelli et al. (2016). For each country, the effect of STRIs on labor productivity in downstream sectors is calculated for the largest and the 2</w:t>
      </w:r>
      <w:r w:rsidRPr="00B667C4">
        <w:rPr>
          <w:rFonts w:asciiTheme="minorHAnsi" w:hAnsiTheme="minorHAnsi" w:cstheme="minorHAnsi"/>
          <w:color w:val="000000"/>
          <w:sz w:val="22"/>
          <w:vertAlign w:val="superscript"/>
        </w:rPr>
        <w:t>nd</w:t>
      </w:r>
      <w:r w:rsidRPr="00B667C4">
        <w:rPr>
          <w:rFonts w:asciiTheme="minorHAnsi" w:hAnsiTheme="minorHAnsi" w:cstheme="minorHAnsi"/>
          <w:color w:val="000000"/>
          <w:sz w:val="22"/>
        </w:rPr>
        <w:t xml:space="preserve"> largest manufacturing industry in the country – see Annex 1 for a summary description of the methodology used. “Impact” in Table 2 refers to the estimated percentage change in sectoral labour productivity of removing all barriers to FDI in financial, transport, communication and business services, as measured by the World Bank’s STRI for mode 3. The column “current institutions” is simply the estimated impact, while the numbers in the columns labelled “High Institutions (Africa)” and “High Inst. (DNK) measures the effect on labour productivity under counterfactual scenarios where the governance variable (rule of law, regulatory quality, control of corruption, respectively, in panel A, B and C) is set at level of the African country with the best performance on each respective variable in our sample or at the level of Denmark, generally the highest performing country in the world in terms of economic governance indicators.  The last two columns report the ranking of countries in terms of STRI levels (openness) and governance quality.  </w:t>
      </w:r>
    </w:p>
    <w:p w14:paraId="6C65468A" w14:textId="77777777" w:rsidR="006756F1" w:rsidRPr="00B667C4" w:rsidRDefault="006756F1" w:rsidP="006756F1">
      <w:pPr>
        <w:spacing w:after="120" w:line="276" w:lineRule="auto"/>
        <w:rPr>
          <w:rFonts w:asciiTheme="minorHAnsi" w:hAnsiTheme="minorHAnsi" w:cstheme="minorHAnsi"/>
          <w:sz w:val="22"/>
        </w:rPr>
      </w:pPr>
      <w:r w:rsidRPr="00B667C4">
        <w:rPr>
          <w:rFonts w:asciiTheme="minorHAnsi" w:hAnsiTheme="minorHAnsi" w:cstheme="minorHAnsi"/>
          <w:color w:val="000000"/>
          <w:sz w:val="22"/>
        </w:rPr>
        <w:t xml:space="preserve">Food processing tends to be the largest or second largest manufacturing activity in the countries in the sample. Botswana and Mauritius have the best governance of this set of countries. If Botswana were to remove all mode 3 barriers, this would generate a productivity increase in the food and beverages sectors of some 24 to 34 percent, depending on the governance indicator that is used. Similar magnitude effects are estimated for Mauritius and South Africa. However, for the other countries, the impacts would be substantially smaller, despite the level of mode 3 restrictions being higher than in the other three countries. If, however, the four countries with weaker governance were to improve their institutional environment to that prevailing in the best performing Sub-Saharan African country the positive productivity impact of services liberalization would increase by a magnitude of four to ten. Moving towards the Danish benchmark would increase impacts by another 50 to 100 percent. While the magnitudes of the estimates are only indicative – the estimates for the four countries with weaker governance are not statistically significant – the results are nonetheless informative: they illustrate the importance of economic governance as a determinant of the gains from trade liberalization. The implication for national policy and regional integration initiatives is that attention should focus on governance, not just reducing STRIs. </w:t>
      </w:r>
    </w:p>
    <w:p w14:paraId="5FDAC811" w14:textId="03A2C06E" w:rsidR="007D3F4B" w:rsidRPr="00B667C4" w:rsidRDefault="00B94F1A" w:rsidP="00CC2A6D">
      <w:pPr>
        <w:spacing w:before="240" w:after="120"/>
        <w:rPr>
          <w:rFonts w:asciiTheme="minorHAnsi" w:hAnsiTheme="minorHAnsi" w:cstheme="minorHAnsi"/>
          <w:b/>
          <w:sz w:val="22"/>
        </w:rPr>
      </w:pPr>
      <w:r w:rsidRPr="00B667C4">
        <w:rPr>
          <w:rFonts w:asciiTheme="minorHAnsi" w:hAnsiTheme="minorHAnsi" w:cstheme="minorHAnsi"/>
          <w:b/>
          <w:sz w:val="22"/>
        </w:rPr>
        <w:t xml:space="preserve">Table </w:t>
      </w:r>
      <w:r w:rsidR="00EE0738" w:rsidRPr="00B667C4">
        <w:rPr>
          <w:rFonts w:asciiTheme="minorHAnsi" w:hAnsiTheme="minorHAnsi" w:cstheme="minorHAnsi"/>
          <w:b/>
          <w:sz w:val="22"/>
        </w:rPr>
        <w:t>2</w:t>
      </w:r>
      <w:r w:rsidRPr="00B667C4">
        <w:rPr>
          <w:rFonts w:asciiTheme="minorHAnsi" w:hAnsiTheme="minorHAnsi" w:cstheme="minorHAnsi"/>
          <w:b/>
          <w:sz w:val="22"/>
        </w:rPr>
        <w:t xml:space="preserve">: </w:t>
      </w:r>
      <w:r w:rsidR="007B1919" w:rsidRPr="00B667C4">
        <w:rPr>
          <w:rFonts w:asciiTheme="minorHAnsi" w:hAnsiTheme="minorHAnsi" w:cstheme="minorHAnsi"/>
          <w:b/>
          <w:sz w:val="22"/>
        </w:rPr>
        <w:t>I</w:t>
      </w:r>
      <w:r w:rsidR="00E17E87" w:rsidRPr="00B667C4">
        <w:rPr>
          <w:rFonts w:asciiTheme="minorHAnsi" w:hAnsiTheme="minorHAnsi" w:cstheme="minorHAnsi"/>
          <w:b/>
          <w:sz w:val="22"/>
        </w:rPr>
        <w:t xml:space="preserve">mpact </w:t>
      </w:r>
      <w:r w:rsidRPr="00B667C4">
        <w:rPr>
          <w:rFonts w:asciiTheme="minorHAnsi" w:hAnsiTheme="minorHAnsi" w:cstheme="minorHAnsi"/>
          <w:b/>
          <w:sz w:val="22"/>
        </w:rPr>
        <w:t xml:space="preserve">of removing </w:t>
      </w:r>
      <w:r w:rsidR="007B1919" w:rsidRPr="00B667C4">
        <w:rPr>
          <w:rFonts w:asciiTheme="minorHAnsi" w:hAnsiTheme="minorHAnsi" w:cstheme="minorHAnsi"/>
          <w:b/>
          <w:sz w:val="22"/>
        </w:rPr>
        <w:t xml:space="preserve">services </w:t>
      </w:r>
      <w:r w:rsidR="00982597" w:rsidRPr="00B667C4">
        <w:rPr>
          <w:rFonts w:asciiTheme="minorHAnsi" w:hAnsiTheme="minorHAnsi" w:cstheme="minorHAnsi"/>
          <w:b/>
          <w:sz w:val="22"/>
        </w:rPr>
        <w:t xml:space="preserve">FDI </w:t>
      </w:r>
      <w:r w:rsidRPr="00B667C4">
        <w:rPr>
          <w:rFonts w:asciiTheme="minorHAnsi" w:hAnsiTheme="minorHAnsi" w:cstheme="minorHAnsi"/>
          <w:b/>
          <w:sz w:val="22"/>
        </w:rPr>
        <w:t xml:space="preserve">barriers </w:t>
      </w:r>
      <w:r w:rsidR="00E17E87" w:rsidRPr="00B667C4">
        <w:rPr>
          <w:rFonts w:asciiTheme="minorHAnsi" w:hAnsiTheme="minorHAnsi" w:cstheme="minorHAnsi"/>
          <w:b/>
          <w:sz w:val="22"/>
        </w:rPr>
        <w:t xml:space="preserve">on </w:t>
      </w:r>
      <w:r w:rsidR="007B1919" w:rsidRPr="00B667C4">
        <w:rPr>
          <w:rFonts w:asciiTheme="minorHAnsi" w:hAnsiTheme="minorHAnsi" w:cstheme="minorHAnsi"/>
          <w:b/>
          <w:sz w:val="22"/>
        </w:rPr>
        <w:t xml:space="preserve">downstream </w:t>
      </w:r>
      <w:r w:rsidR="0049375E" w:rsidRPr="00B667C4">
        <w:rPr>
          <w:rFonts w:asciiTheme="minorHAnsi" w:hAnsiTheme="minorHAnsi" w:cstheme="minorHAnsi"/>
          <w:b/>
          <w:sz w:val="22"/>
        </w:rPr>
        <w:t>labour</w:t>
      </w:r>
      <w:r w:rsidR="007D3F4B" w:rsidRPr="00B667C4">
        <w:rPr>
          <w:rFonts w:asciiTheme="minorHAnsi" w:hAnsiTheme="minorHAnsi" w:cstheme="minorHAnsi"/>
          <w:b/>
          <w:sz w:val="22"/>
        </w:rPr>
        <w:t xml:space="preserve"> productivity (% change)</w:t>
      </w:r>
    </w:p>
    <w:tbl>
      <w:tblPr>
        <w:tblW w:w="5584" w:type="pct"/>
        <w:tblInd w:w="-450" w:type="dxa"/>
        <w:tblLayout w:type="fixed"/>
        <w:tblLook w:val="04A0" w:firstRow="1" w:lastRow="0" w:firstColumn="1" w:lastColumn="0" w:noHBand="0" w:noVBand="1"/>
      </w:tblPr>
      <w:tblGrid>
        <w:gridCol w:w="1213"/>
        <w:gridCol w:w="1315"/>
        <w:gridCol w:w="98"/>
        <w:gridCol w:w="744"/>
        <w:gridCol w:w="832"/>
        <w:gridCol w:w="834"/>
        <w:gridCol w:w="1175"/>
        <w:gridCol w:w="880"/>
        <w:gridCol w:w="882"/>
        <w:gridCol w:w="738"/>
        <w:gridCol w:w="590"/>
        <w:gridCol w:w="1152"/>
      </w:tblGrid>
      <w:tr w:rsidR="00B94F1A" w:rsidRPr="00BF1340" w14:paraId="2749BAAD" w14:textId="77777777" w:rsidTr="00817240">
        <w:tc>
          <w:tcPr>
            <w:tcW w:w="580" w:type="pct"/>
            <w:tcBorders>
              <w:top w:val="single" w:sz="4" w:space="0" w:color="auto"/>
              <w:bottom w:val="single" w:sz="4" w:space="0" w:color="auto"/>
            </w:tcBorders>
            <w:shd w:val="clear" w:color="auto" w:fill="auto"/>
          </w:tcPr>
          <w:p w14:paraId="673A25EA" w14:textId="77777777" w:rsidR="007D3F4B" w:rsidRPr="00BF1340" w:rsidRDefault="007D3F4B" w:rsidP="003163C6">
            <w:pPr>
              <w:rPr>
                <w:rFonts w:asciiTheme="minorHAnsi" w:hAnsiTheme="minorHAnsi" w:cstheme="minorHAnsi"/>
                <w:sz w:val="20"/>
                <w:szCs w:val="20"/>
              </w:rPr>
            </w:pPr>
          </w:p>
        </w:tc>
        <w:tc>
          <w:tcPr>
            <w:tcW w:w="1829" w:type="pct"/>
            <w:gridSpan w:val="5"/>
            <w:tcBorders>
              <w:top w:val="single" w:sz="4" w:space="0" w:color="auto"/>
              <w:bottom w:val="single" w:sz="4" w:space="0" w:color="auto"/>
            </w:tcBorders>
            <w:shd w:val="clear" w:color="auto" w:fill="auto"/>
          </w:tcPr>
          <w:p w14:paraId="3CCD77DF" w14:textId="6F6E20DB"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 xml:space="preserve">Biggest manuf. </w:t>
            </w:r>
            <w:r w:rsidR="00D70EF6" w:rsidRPr="00BF1340">
              <w:rPr>
                <w:rFonts w:asciiTheme="minorHAnsi" w:hAnsiTheme="minorHAnsi" w:cstheme="minorHAnsi"/>
                <w:sz w:val="20"/>
                <w:szCs w:val="20"/>
              </w:rPr>
              <w:t>I</w:t>
            </w:r>
            <w:r w:rsidRPr="00BF1340">
              <w:rPr>
                <w:rFonts w:asciiTheme="minorHAnsi" w:hAnsiTheme="minorHAnsi" w:cstheme="minorHAnsi"/>
                <w:sz w:val="20"/>
                <w:szCs w:val="20"/>
              </w:rPr>
              <w:t>ndustry</w:t>
            </w:r>
          </w:p>
        </w:tc>
        <w:tc>
          <w:tcPr>
            <w:tcW w:w="1758" w:type="pct"/>
            <w:gridSpan w:val="4"/>
            <w:tcBorders>
              <w:top w:val="single" w:sz="4" w:space="0" w:color="auto"/>
              <w:bottom w:val="single" w:sz="4" w:space="0" w:color="auto"/>
            </w:tcBorders>
            <w:shd w:val="clear" w:color="auto" w:fill="auto"/>
          </w:tcPr>
          <w:p w14:paraId="317C7523" w14:textId="5B9C499E"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 xml:space="preserve">Second biggest manuf. </w:t>
            </w:r>
            <w:r w:rsidR="0030462C" w:rsidRPr="00BF1340">
              <w:rPr>
                <w:rFonts w:asciiTheme="minorHAnsi" w:hAnsiTheme="minorHAnsi" w:cstheme="minorHAnsi"/>
                <w:sz w:val="20"/>
                <w:szCs w:val="20"/>
              </w:rPr>
              <w:t>I</w:t>
            </w:r>
            <w:r w:rsidRPr="00BF1340">
              <w:rPr>
                <w:rFonts w:asciiTheme="minorHAnsi" w:hAnsiTheme="minorHAnsi" w:cstheme="minorHAnsi"/>
                <w:sz w:val="20"/>
                <w:szCs w:val="20"/>
              </w:rPr>
              <w:t>ndustry</w:t>
            </w:r>
          </w:p>
        </w:tc>
        <w:tc>
          <w:tcPr>
            <w:tcW w:w="833" w:type="pct"/>
            <w:gridSpan w:val="2"/>
            <w:tcBorders>
              <w:top w:val="single" w:sz="4" w:space="0" w:color="auto"/>
              <w:bottom w:val="single" w:sz="4" w:space="0" w:color="auto"/>
            </w:tcBorders>
            <w:shd w:val="clear" w:color="auto" w:fill="auto"/>
          </w:tcPr>
          <w:p w14:paraId="0EA6925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Country Ranking</w:t>
            </w:r>
          </w:p>
        </w:tc>
      </w:tr>
      <w:tr w:rsidR="00E66793" w:rsidRPr="00BF1340" w14:paraId="406ECE1F" w14:textId="77777777" w:rsidTr="00E66793">
        <w:tc>
          <w:tcPr>
            <w:tcW w:w="580" w:type="pct"/>
            <w:tcBorders>
              <w:top w:val="single" w:sz="4" w:space="0" w:color="auto"/>
              <w:bottom w:val="single" w:sz="4" w:space="0" w:color="auto"/>
            </w:tcBorders>
            <w:shd w:val="clear" w:color="auto" w:fill="auto"/>
            <w:vAlign w:val="center"/>
          </w:tcPr>
          <w:p w14:paraId="12C68D6D" w14:textId="77777777" w:rsidR="00E66793" w:rsidRPr="00BF1340" w:rsidRDefault="00E66793" w:rsidP="003163C6">
            <w:pPr>
              <w:rPr>
                <w:rFonts w:asciiTheme="minorHAnsi" w:hAnsiTheme="minorHAnsi" w:cstheme="minorHAnsi"/>
                <w:sz w:val="20"/>
                <w:szCs w:val="20"/>
              </w:rPr>
            </w:pPr>
          </w:p>
        </w:tc>
        <w:tc>
          <w:tcPr>
            <w:tcW w:w="629" w:type="pct"/>
            <w:tcBorders>
              <w:top w:val="single" w:sz="4" w:space="0" w:color="auto"/>
              <w:bottom w:val="single" w:sz="4" w:space="0" w:color="auto"/>
            </w:tcBorders>
            <w:shd w:val="clear" w:color="auto" w:fill="auto"/>
            <w:vAlign w:val="center"/>
          </w:tcPr>
          <w:p w14:paraId="662C3B8D" w14:textId="77777777" w:rsidR="00E66793" w:rsidRPr="00BF1340" w:rsidRDefault="00E66793" w:rsidP="003163C6">
            <w:pPr>
              <w:rPr>
                <w:rFonts w:asciiTheme="minorHAnsi" w:hAnsiTheme="minorHAnsi" w:cstheme="minorHAnsi"/>
                <w:sz w:val="20"/>
                <w:szCs w:val="20"/>
              </w:rPr>
            </w:pPr>
          </w:p>
        </w:tc>
        <w:tc>
          <w:tcPr>
            <w:tcW w:w="1200" w:type="pct"/>
            <w:gridSpan w:val="4"/>
            <w:tcBorders>
              <w:top w:val="single" w:sz="4" w:space="0" w:color="auto"/>
              <w:bottom w:val="single" w:sz="4" w:space="0" w:color="auto"/>
            </w:tcBorders>
            <w:shd w:val="clear" w:color="auto" w:fill="auto"/>
            <w:vAlign w:val="center"/>
          </w:tcPr>
          <w:p w14:paraId="23631C55" w14:textId="2D84C256" w:rsidR="00E66793" w:rsidRPr="00BF1340" w:rsidRDefault="00E66793" w:rsidP="003163C6">
            <w:pPr>
              <w:jc w:val="center"/>
              <w:rPr>
                <w:rFonts w:asciiTheme="minorHAnsi" w:hAnsiTheme="minorHAnsi" w:cstheme="minorHAnsi"/>
                <w:sz w:val="20"/>
                <w:szCs w:val="20"/>
              </w:rPr>
            </w:pPr>
            <w:r w:rsidRPr="00BF1340">
              <w:rPr>
                <w:rFonts w:asciiTheme="minorHAnsi" w:hAnsiTheme="minorHAnsi" w:cstheme="minorHAnsi"/>
                <w:sz w:val="20"/>
                <w:szCs w:val="20"/>
              </w:rPr>
              <w:t>Impact</w:t>
            </w:r>
          </w:p>
        </w:tc>
        <w:tc>
          <w:tcPr>
            <w:tcW w:w="562" w:type="pct"/>
            <w:tcBorders>
              <w:top w:val="single" w:sz="4" w:space="0" w:color="auto"/>
              <w:bottom w:val="single" w:sz="4" w:space="0" w:color="auto"/>
            </w:tcBorders>
            <w:shd w:val="clear" w:color="auto" w:fill="auto"/>
            <w:vAlign w:val="center"/>
          </w:tcPr>
          <w:p w14:paraId="2C42B42F" w14:textId="77777777" w:rsidR="00E66793" w:rsidRPr="00BF1340" w:rsidRDefault="00E66793" w:rsidP="003163C6">
            <w:pPr>
              <w:rPr>
                <w:rFonts w:asciiTheme="minorHAnsi" w:hAnsiTheme="minorHAnsi" w:cstheme="minorHAnsi"/>
                <w:sz w:val="20"/>
                <w:szCs w:val="20"/>
              </w:rPr>
            </w:pPr>
          </w:p>
        </w:tc>
        <w:tc>
          <w:tcPr>
            <w:tcW w:w="1196" w:type="pct"/>
            <w:gridSpan w:val="3"/>
            <w:tcBorders>
              <w:top w:val="single" w:sz="4" w:space="0" w:color="auto"/>
              <w:bottom w:val="single" w:sz="4" w:space="0" w:color="auto"/>
            </w:tcBorders>
            <w:shd w:val="clear" w:color="auto" w:fill="auto"/>
            <w:vAlign w:val="center"/>
          </w:tcPr>
          <w:p w14:paraId="796E01DB" w14:textId="592017FC" w:rsidR="00E66793" w:rsidRPr="00BF1340" w:rsidRDefault="00E66793" w:rsidP="003163C6">
            <w:pPr>
              <w:jc w:val="center"/>
              <w:rPr>
                <w:rFonts w:asciiTheme="minorHAnsi" w:hAnsiTheme="minorHAnsi" w:cstheme="minorHAnsi"/>
                <w:sz w:val="20"/>
                <w:szCs w:val="20"/>
              </w:rPr>
            </w:pPr>
            <w:r w:rsidRPr="00BF1340">
              <w:rPr>
                <w:rFonts w:asciiTheme="minorHAnsi" w:hAnsiTheme="minorHAnsi" w:cstheme="minorHAnsi"/>
                <w:sz w:val="20"/>
                <w:szCs w:val="20"/>
              </w:rPr>
              <w:t>Impact</w:t>
            </w:r>
          </w:p>
        </w:tc>
        <w:tc>
          <w:tcPr>
            <w:tcW w:w="282" w:type="pct"/>
            <w:tcBorders>
              <w:top w:val="single" w:sz="4" w:space="0" w:color="auto"/>
              <w:bottom w:val="single" w:sz="4" w:space="0" w:color="auto"/>
            </w:tcBorders>
            <w:shd w:val="clear" w:color="auto" w:fill="auto"/>
            <w:vAlign w:val="center"/>
          </w:tcPr>
          <w:p w14:paraId="0C4A1956" w14:textId="77777777" w:rsidR="00E66793" w:rsidRPr="00BF1340" w:rsidRDefault="00E66793" w:rsidP="003163C6">
            <w:pPr>
              <w:rPr>
                <w:rFonts w:asciiTheme="minorHAnsi" w:hAnsiTheme="minorHAnsi" w:cstheme="minorHAnsi"/>
                <w:sz w:val="20"/>
                <w:szCs w:val="20"/>
              </w:rPr>
            </w:pPr>
          </w:p>
        </w:tc>
        <w:tc>
          <w:tcPr>
            <w:tcW w:w="551" w:type="pct"/>
            <w:tcBorders>
              <w:top w:val="single" w:sz="4" w:space="0" w:color="auto"/>
              <w:bottom w:val="single" w:sz="4" w:space="0" w:color="auto"/>
            </w:tcBorders>
            <w:shd w:val="clear" w:color="auto" w:fill="auto"/>
            <w:vAlign w:val="center"/>
          </w:tcPr>
          <w:p w14:paraId="11BAA594" w14:textId="77777777" w:rsidR="00E66793" w:rsidRPr="00BF1340" w:rsidRDefault="00E66793" w:rsidP="003163C6">
            <w:pPr>
              <w:rPr>
                <w:rFonts w:asciiTheme="minorHAnsi" w:hAnsiTheme="minorHAnsi" w:cstheme="minorHAnsi"/>
                <w:sz w:val="20"/>
                <w:szCs w:val="20"/>
              </w:rPr>
            </w:pPr>
          </w:p>
        </w:tc>
      </w:tr>
      <w:tr w:rsidR="00B94F1A" w:rsidRPr="00BF1340" w14:paraId="7C2F7D34" w14:textId="77777777" w:rsidTr="00817240">
        <w:tc>
          <w:tcPr>
            <w:tcW w:w="580" w:type="pct"/>
            <w:tcBorders>
              <w:top w:val="single" w:sz="4" w:space="0" w:color="auto"/>
              <w:bottom w:val="single" w:sz="4" w:space="0" w:color="auto"/>
            </w:tcBorders>
            <w:shd w:val="clear" w:color="auto" w:fill="auto"/>
            <w:vAlign w:val="center"/>
          </w:tcPr>
          <w:p w14:paraId="528B3DDD" w14:textId="77777777" w:rsidR="007D3F4B" w:rsidRPr="00BF1340" w:rsidRDefault="007D3F4B" w:rsidP="003163C6">
            <w:pPr>
              <w:rPr>
                <w:rFonts w:asciiTheme="minorHAnsi" w:hAnsiTheme="minorHAnsi" w:cstheme="minorHAnsi"/>
                <w:sz w:val="20"/>
                <w:szCs w:val="20"/>
              </w:rPr>
            </w:pPr>
          </w:p>
        </w:tc>
        <w:tc>
          <w:tcPr>
            <w:tcW w:w="629" w:type="pct"/>
            <w:tcBorders>
              <w:top w:val="single" w:sz="4" w:space="0" w:color="auto"/>
              <w:bottom w:val="single" w:sz="4" w:space="0" w:color="auto"/>
            </w:tcBorders>
            <w:shd w:val="clear" w:color="auto" w:fill="auto"/>
            <w:vAlign w:val="center"/>
          </w:tcPr>
          <w:p w14:paraId="42D117E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Sector</w:t>
            </w:r>
          </w:p>
        </w:tc>
        <w:tc>
          <w:tcPr>
            <w:tcW w:w="403" w:type="pct"/>
            <w:gridSpan w:val="2"/>
            <w:tcBorders>
              <w:top w:val="single" w:sz="4" w:space="0" w:color="auto"/>
              <w:bottom w:val="single" w:sz="4" w:space="0" w:color="auto"/>
            </w:tcBorders>
            <w:shd w:val="clear" w:color="auto" w:fill="auto"/>
            <w:vAlign w:val="center"/>
          </w:tcPr>
          <w:p w14:paraId="6A8F0A34" w14:textId="4FCC1675"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Current Inst.</w:t>
            </w:r>
          </w:p>
        </w:tc>
        <w:tc>
          <w:tcPr>
            <w:tcW w:w="398" w:type="pct"/>
            <w:tcBorders>
              <w:top w:val="single" w:sz="4" w:space="0" w:color="auto"/>
              <w:bottom w:val="single" w:sz="4" w:space="0" w:color="auto"/>
            </w:tcBorders>
            <w:shd w:val="clear" w:color="auto" w:fill="auto"/>
            <w:vAlign w:val="center"/>
          </w:tcPr>
          <w:p w14:paraId="0C874E7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High Inst. (Africa)</w:t>
            </w:r>
          </w:p>
        </w:tc>
        <w:tc>
          <w:tcPr>
            <w:tcW w:w="399" w:type="pct"/>
            <w:tcBorders>
              <w:top w:val="single" w:sz="4" w:space="0" w:color="auto"/>
              <w:bottom w:val="single" w:sz="4" w:space="0" w:color="auto"/>
            </w:tcBorders>
            <w:shd w:val="clear" w:color="auto" w:fill="auto"/>
            <w:vAlign w:val="center"/>
          </w:tcPr>
          <w:p w14:paraId="3DD95849" w14:textId="525CBF8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 xml:space="preserve">High Inst. </w:t>
            </w:r>
            <w:r w:rsidR="00E66793" w:rsidRPr="00BF1340">
              <w:rPr>
                <w:rFonts w:asciiTheme="minorHAnsi" w:hAnsiTheme="minorHAnsi" w:cstheme="minorHAnsi"/>
                <w:sz w:val="20"/>
                <w:szCs w:val="20"/>
              </w:rPr>
              <w:t>(</w:t>
            </w:r>
            <w:r w:rsidRPr="00BF1340">
              <w:rPr>
                <w:rFonts w:asciiTheme="minorHAnsi" w:hAnsiTheme="minorHAnsi" w:cstheme="minorHAnsi"/>
                <w:sz w:val="20"/>
                <w:szCs w:val="20"/>
              </w:rPr>
              <w:t>DNK</w:t>
            </w:r>
            <w:r w:rsidR="00E66793" w:rsidRPr="00BF1340">
              <w:rPr>
                <w:rFonts w:asciiTheme="minorHAnsi" w:hAnsiTheme="minorHAnsi" w:cstheme="minorHAnsi"/>
                <w:sz w:val="20"/>
                <w:szCs w:val="20"/>
              </w:rPr>
              <w:t>)</w:t>
            </w:r>
          </w:p>
        </w:tc>
        <w:tc>
          <w:tcPr>
            <w:tcW w:w="562" w:type="pct"/>
            <w:tcBorders>
              <w:top w:val="single" w:sz="4" w:space="0" w:color="auto"/>
              <w:bottom w:val="single" w:sz="4" w:space="0" w:color="auto"/>
            </w:tcBorders>
            <w:shd w:val="clear" w:color="auto" w:fill="auto"/>
            <w:vAlign w:val="center"/>
          </w:tcPr>
          <w:p w14:paraId="561CBF6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Sector</w:t>
            </w:r>
          </w:p>
        </w:tc>
        <w:tc>
          <w:tcPr>
            <w:tcW w:w="421" w:type="pct"/>
            <w:tcBorders>
              <w:top w:val="single" w:sz="4" w:space="0" w:color="auto"/>
              <w:bottom w:val="single" w:sz="4" w:space="0" w:color="auto"/>
            </w:tcBorders>
            <w:shd w:val="clear" w:color="auto" w:fill="auto"/>
            <w:vAlign w:val="center"/>
          </w:tcPr>
          <w:p w14:paraId="27E8FA24" w14:textId="1E965A15"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Current Inst.</w:t>
            </w:r>
          </w:p>
        </w:tc>
        <w:tc>
          <w:tcPr>
            <w:tcW w:w="422" w:type="pct"/>
            <w:tcBorders>
              <w:top w:val="single" w:sz="4" w:space="0" w:color="auto"/>
              <w:bottom w:val="single" w:sz="4" w:space="0" w:color="auto"/>
            </w:tcBorders>
            <w:shd w:val="clear" w:color="auto" w:fill="auto"/>
            <w:vAlign w:val="center"/>
          </w:tcPr>
          <w:p w14:paraId="2FD0F16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High Inst. (Africa)</w:t>
            </w:r>
          </w:p>
        </w:tc>
        <w:tc>
          <w:tcPr>
            <w:tcW w:w="353" w:type="pct"/>
            <w:tcBorders>
              <w:top w:val="single" w:sz="4" w:space="0" w:color="auto"/>
              <w:bottom w:val="single" w:sz="4" w:space="0" w:color="auto"/>
            </w:tcBorders>
            <w:shd w:val="clear" w:color="auto" w:fill="auto"/>
            <w:vAlign w:val="center"/>
          </w:tcPr>
          <w:p w14:paraId="7DC8AF7C" w14:textId="065E6F7D"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 xml:space="preserve">High Inst. </w:t>
            </w:r>
            <w:r w:rsidR="00E66793" w:rsidRPr="00BF1340">
              <w:rPr>
                <w:rFonts w:asciiTheme="minorHAnsi" w:hAnsiTheme="minorHAnsi" w:cstheme="minorHAnsi"/>
                <w:sz w:val="20"/>
                <w:szCs w:val="20"/>
              </w:rPr>
              <w:t>(</w:t>
            </w:r>
            <w:r w:rsidRPr="00BF1340">
              <w:rPr>
                <w:rFonts w:asciiTheme="minorHAnsi" w:hAnsiTheme="minorHAnsi" w:cstheme="minorHAnsi"/>
                <w:sz w:val="20"/>
                <w:szCs w:val="20"/>
              </w:rPr>
              <w:t>DNK</w:t>
            </w:r>
            <w:r w:rsidR="00E66793" w:rsidRPr="00BF1340">
              <w:rPr>
                <w:rFonts w:asciiTheme="minorHAnsi" w:hAnsiTheme="minorHAnsi" w:cstheme="minorHAnsi"/>
                <w:sz w:val="20"/>
                <w:szCs w:val="20"/>
              </w:rPr>
              <w:t>)</w:t>
            </w:r>
          </w:p>
        </w:tc>
        <w:tc>
          <w:tcPr>
            <w:tcW w:w="282" w:type="pct"/>
            <w:tcBorders>
              <w:top w:val="single" w:sz="4" w:space="0" w:color="auto"/>
              <w:bottom w:val="single" w:sz="4" w:space="0" w:color="auto"/>
            </w:tcBorders>
            <w:shd w:val="clear" w:color="auto" w:fill="auto"/>
            <w:vAlign w:val="center"/>
          </w:tcPr>
          <w:p w14:paraId="1701306B" w14:textId="77777777" w:rsidR="007D3F4B" w:rsidRPr="00BF1340" w:rsidRDefault="00B94F1A" w:rsidP="003163C6">
            <w:pPr>
              <w:rPr>
                <w:rFonts w:asciiTheme="minorHAnsi" w:hAnsiTheme="minorHAnsi" w:cstheme="minorHAnsi"/>
                <w:sz w:val="20"/>
                <w:szCs w:val="20"/>
              </w:rPr>
            </w:pPr>
            <w:r w:rsidRPr="00BF1340">
              <w:rPr>
                <w:rFonts w:asciiTheme="minorHAnsi" w:hAnsiTheme="minorHAnsi" w:cstheme="minorHAnsi"/>
                <w:sz w:val="20"/>
                <w:szCs w:val="20"/>
              </w:rPr>
              <w:t>STRI</w:t>
            </w:r>
          </w:p>
        </w:tc>
        <w:tc>
          <w:tcPr>
            <w:tcW w:w="551" w:type="pct"/>
            <w:tcBorders>
              <w:top w:val="single" w:sz="4" w:space="0" w:color="auto"/>
              <w:bottom w:val="single" w:sz="4" w:space="0" w:color="auto"/>
            </w:tcBorders>
            <w:shd w:val="clear" w:color="auto" w:fill="auto"/>
            <w:vAlign w:val="center"/>
          </w:tcPr>
          <w:p w14:paraId="23AB42D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Institutions</w:t>
            </w:r>
          </w:p>
        </w:tc>
      </w:tr>
      <w:tr w:rsidR="007D3F4B" w:rsidRPr="00BF1340" w14:paraId="59F39E3E" w14:textId="77777777" w:rsidTr="00817240">
        <w:tc>
          <w:tcPr>
            <w:tcW w:w="5000" w:type="pct"/>
            <w:gridSpan w:val="12"/>
            <w:tcBorders>
              <w:top w:val="single" w:sz="4" w:space="0" w:color="auto"/>
              <w:bottom w:val="single" w:sz="4" w:space="0" w:color="auto"/>
            </w:tcBorders>
            <w:shd w:val="clear" w:color="auto" w:fill="auto"/>
          </w:tcPr>
          <w:p w14:paraId="44E32AF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Panel A: Rule of Law (High</w:t>
            </w:r>
            <w:r w:rsidR="0080447C" w:rsidRPr="00BF1340">
              <w:rPr>
                <w:rFonts w:asciiTheme="minorHAnsi" w:hAnsiTheme="minorHAnsi" w:cstheme="minorHAnsi"/>
                <w:sz w:val="20"/>
                <w:szCs w:val="20"/>
              </w:rPr>
              <w:t>est</w:t>
            </w:r>
            <w:r w:rsidRPr="00BF1340">
              <w:rPr>
                <w:rFonts w:asciiTheme="minorHAnsi" w:hAnsiTheme="minorHAnsi" w:cstheme="minorHAnsi"/>
                <w:sz w:val="20"/>
                <w:szCs w:val="20"/>
              </w:rPr>
              <w:t xml:space="preserve"> Africa: Mauritius)</w:t>
            </w:r>
          </w:p>
        </w:tc>
      </w:tr>
      <w:tr w:rsidR="00B94F1A" w:rsidRPr="00BF1340" w14:paraId="3D4E19D9" w14:textId="77777777" w:rsidTr="00817240">
        <w:tc>
          <w:tcPr>
            <w:tcW w:w="580" w:type="pct"/>
            <w:tcBorders>
              <w:top w:val="single" w:sz="4" w:space="0" w:color="auto"/>
            </w:tcBorders>
            <w:shd w:val="clear" w:color="auto" w:fill="auto"/>
          </w:tcPr>
          <w:p w14:paraId="720A94E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Botswana</w:t>
            </w:r>
          </w:p>
        </w:tc>
        <w:tc>
          <w:tcPr>
            <w:tcW w:w="676" w:type="pct"/>
            <w:gridSpan w:val="2"/>
            <w:tcBorders>
              <w:top w:val="single" w:sz="4" w:space="0" w:color="auto"/>
            </w:tcBorders>
            <w:shd w:val="clear" w:color="auto" w:fill="auto"/>
            <w:vAlign w:val="bottom"/>
          </w:tcPr>
          <w:p w14:paraId="1B00313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furniture/nec</w:t>
            </w:r>
          </w:p>
        </w:tc>
        <w:tc>
          <w:tcPr>
            <w:tcW w:w="356" w:type="pct"/>
            <w:tcBorders>
              <w:top w:val="single" w:sz="4" w:space="0" w:color="auto"/>
            </w:tcBorders>
            <w:shd w:val="clear" w:color="auto" w:fill="auto"/>
          </w:tcPr>
          <w:p w14:paraId="716D2B8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28.</w:t>
            </w:r>
            <w:r w:rsidR="00393E66" w:rsidRPr="00BF1340">
              <w:rPr>
                <w:rFonts w:asciiTheme="minorHAnsi" w:hAnsiTheme="minorHAnsi" w:cstheme="minorHAnsi"/>
                <w:sz w:val="20"/>
                <w:szCs w:val="20"/>
              </w:rPr>
              <w:t>2</w:t>
            </w:r>
          </w:p>
        </w:tc>
        <w:tc>
          <w:tcPr>
            <w:tcW w:w="398" w:type="pct"/>
            <w:tcBorders>
              <w:top w:val="single" w:sz="4" w:space="0" w:color="auto"/>
            </w:tcBorders>
            <w:shd w:val="clear" w:color="auto" w:fill="auto"/>
            <w:vAlign w:val="bottom"/>
          </w:tcPr>
          <w:p w14:paraId="042CA3E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34.0</w:t>
            </w:r>
          </w:p>
        </w:tc>
        <w:tc>
          <w:tcPr>
            <w:tcW w:w="399" w:type="pct"/>
            <w:tcBorders>
              <w:top w:val="single" w:sz="4" w:space="0" w:color="auto"/>
            </w:tcBorders>
            <w:shd w:val="clear" w:color="auto" w:fill="auto"/>
            <w:vAlign w:val="bottom"/>
          </w:tcPr>
          <w:p w14:paraId="3F97B8B1" w14:textId="77777777" w:rsidR="007D3F4B" w:rsidRPr="00BF1340" w:rsidRDefault="00AE5623" w:rsidP="003163C6">
            <w:pPr>
              <w:rPr>
                <w:rFonts w:asciiTheme="minorHAnsi" w:hAnsiTheme="minorHAnsi" w:cstheme="minorHAnsi"/>
                <w:sz w:val="20"/>
                <w:szCs w:val="20"/>
              </w:rPr>
            </w:pPr>
            <w:r w:rsidRPr="00BF1340">
              <w:rPr>
                <w:rFonts w:asciiTheme="minorHAnsi" w:hAnsiTheme="minorHAnsi" w:cstheme="minorHAnsi"/>
                <w:sz w:val="20"/>
                <w:szCs w:val="20"/>
              </w:rPr>
              <w:t>57.4</w:t>
            </w:r>
          </w:p>
        </w:tc>
        <w:tc>
          <w:tcPr>
            <w:tcW w:w="562" w:type="pct"/>
            <w:tcBorders>
              <w:top w:val="single" w:sz="4" w:space="0" w:color="auto"/>
            </w:tcBorders>
            <w:shd w:val="clear" w:color="auto" w:fill="auto"/>
            <w:vAlign w:val="bottom"/>
          </w:tcPr>
          <w:p w14:paraId="3A9542D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tcBorders>
              <w:top w:val="single" w:sz="4" w:space="0" w:color="auto"/>
            </w:tcBorders>
            <w:shd w:val="clear" w:color="auto" w:fill="auto"/>
            <w:vAlign w:val="bottom"/>
          </w:tcPr>
          <w:p w14:paraId="0B329C4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31.4</w:t>
            </w:r>
          </w:p>
        </w:tc>
        <w:tc>
          <w:tcPr>
            <w:tcW w:w="422" w:type="pct"/>
            <w:tcBorders>
              <w:top w:val="single" w:sz="4" w:space="0" w:color="auto"/>
            </w:tcBorders>
            <w:shd w:val="clear" w:color="auto" w:fill="auto"/>
            <w:vAlign w:val="bottom"/>
          </w:tcPr>
          <w:p w14:paraId="2FA15B8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37.9</w:t>
            </w:r>
          </w:p>
        </w:tc>
        <w:tc>
          <w:tcPr>
            <w:tcW w:w="353" w:type="pct"/>
            <w:tcBorders>
              <w:top w:val="single" w:sz="4" w:space="0" w:color="auto"/>
            </w:tcBorders>
            <w:shd w:val="clear" w:color="auto" w:fill="auto"/>
            <w:vAlign w:val="bottom"/>
          </w:tcPr>
          <w:p w14:paraId="5C40414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63.8</w:t>
            </w:r>
          </w:p>
        </w:tc>
        <w:tc>
          <w:tcPr>
            <w:tcW w:w="282" w:type="pct"/>
            <w:tcBorders>
              <w:top w:val="single" w:sz="4" w:space="0" w:color="auto"/>
            </w:tcBorders>
            <w:shd w:val="clear" w:color="auto" w:fill="auto"/>
            <w:vAlign w:val="bottom"/>
          </w:tcPr>
          <w:p w14:paraId="2815EDD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c>
          <w:tcPr>
            <w:tcW w:w="551" w:type="pct"/>
            <w:tcBorders>
              <w:top w:val="single" w:sz="4" w:space="0" w:color="auto"/>
            </w:tcBorders>
            <w:shd w:val="clear" w:color="auto" w:fill="auto"/>
            <w:vAlign w:val="bottom"/>
          </w:tcPr>
          <w:p w14:paraId="6C52BDF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r>
      <w:tr w:rsidR="00B94F1A" w:rsidRPr="00BF1340" w14:paraId="0B5A1AF8" w14:textId="77777777" w:rsidTr="00817240">
        <w:tc>
          <w:tcPr>
            <w:tcW w:w="580" w:type="pct"/>
            <w:shd w:val="clear" w:color="auto" w:fill="auto"/>
          </w:tcPr>
          <w:p w14:paraId="78427C5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Burundi</w:t>
            </w:r>
          </w:p>
        </w:tc>
        <w:tc>
          <w:tcPr>
            <w:tcW w:w="676" w:type="pct"/>
            <w:gridSpan w:val="2"/>
            <w:shd w:val="clear" w:color="auto" w:fill="auto"/>
            <w:vAlign w:val="bottom"/>
          </w:tcPr>
          <w:p w14:paraId="29A9D02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72A3566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r w:rsidR="00393E66" w:rsidRPr="00BF1340">
              <w:rPr>
                <w:rFonts w:asciiTheme="minorHAnsi" w:hAnsiTheme="minorHAnsi" w:cstheme="minorHAnsi"/>
                <w:sz w:val="20"/>
                <w:szCs w:val="20"/>
              </w:rPr>
              <w:t>2</w:t>
            </w:r>
          </w:p>
        </w:tc>
        <w:tc>
          <w:tcPr>
            <w:tcW w:w="398" w:type="pct"/>
            <w:shd w:val="clear" w:color="auto" w:fill="auto"/>
            <w:vAlign w:val="bottom"/>
          </w:tcPr>
          <w:p w14:paraId="7F35F53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27.</w:t>
            </w:r>
            <w:r w:rsidR="00393E66" w:rsidRPr="00BF1340">
              <w:rPr>
                <w:rFonts w:asciiTheme="minorHAnsi" w:hAnsiTheme="minorHAnsi" w:cstheme="minorHAnsi"/>
                <w:sz w:val="20"/>
                <w:szCs w:val="20"/>
              </w:rPr>
              <w:t>6</w:t>
            </w:r>
          </w:p>
        </w:tc>
        <w:tc>
          <w:tcPr>
            <w:tcW w:w="399" w:type="pct"/>
            <w:shd w:val="clear" w:color="auto" w:fill="auto"/>
            <w:vAlign w:val="bottom"/>
          </w:tcPr>
          <w:p w14:paraId="540D5CDA" w14:textId="77777777" w:rsidR="007D3F4B" w:rsidRPr="00BF1340" w:rsidRDefault="00AE5623" w:rsidP="003163C6">
            <w:pPr>
              <w:rPr>
                <w:rFonts w:asciiTheme="minorHAnsi" w:hAnsiTheme="minorHAnsi" w:cstheme="minorHAnsi"/>
                <w:sz w:val="20"/>
                <w:szCs w:val="20"/>
              </w:rPr>
            </w:pPr>
            <w:r w:rsidRPr="00BF1340">
              <w:rPr>
                <w:rFonts w:asciiTheme="minorHAnsi" w:hAnsiTheme="minorHAnsi" w:cstheme="minorHAnsi"/>
                <w:sz w:val="20"/>
                <w:szCs w:val="20"/>
              </w:rPr>
              <w:t>46.5</w:t>
            </w:r>
          </w:p>
        </w:tc>
        <w:tc>
          <w:tcPr>
            <w:tcW w:w="562" w:type="pct"/>
            <w:shd w:val="clear" w:color="auto" w:fill="auto"/>
            <w:vAlign w:val="bottom"/>
          </w:tcPr>
          <w:p w14:paraId="1FB00C9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metals</w:t>
            </w:r>
          </w:p>
        </w:tc>
        <w:tc>
          <w:tcPr>
            <w:tcW w:w="421" w:type="pct"/>
            <w:shd w:val="clear" w:color="auto" w:fill="auto"/>
            <w:vAlign w:val="bottom"/>
          </w:tcPr>
          <w:p w14:paraId="3FE0885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-2.2</w:t>
            </w:r>
          </w:p>
        </w:tc>
        <w:tc>
          <w:tcPr>
            <w:tcW w:w="422" w:type="pct"/>
            <w:shd w:val="clear" w:color="auto" w:fill="auto"/>
            <w:vAlign w:val="bottom"/>
          </w:tcPr>
          <w:p w14:paraId="23DBA9B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9.9</w:t>
            </w:r>
          </w:p>
        </w:tc>
        <w:tc>
          <w:tcPr>
            <w:tcW w:w="353" w:type="pct"/>
            <w:shd w:val="clear" w:color="auto" w:fill="auto"/>
            <w:vAlign w:val="bottom"/>
          </w:tcPr>
          <w:p w14:paraId="3D0A436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r w:rsidR="00393E66" w:rsidRPr="00BF1340">
              <w:rPr>
                <w:rFonts w:asciiTheme="minorHAnsi" w:hAnsiTheme="minorHAnsi" w:cstheme="minorHAnsi"/>
                <w:sz w:val="20"/>
                <w:szCs w:val="20"/>
              </w:rPr>
              <w:t>6.7</w:t>
            </w:r>
          </w:p>
        </w:tc>
        <w:tc>
          <w:tcPr>
            <w:tcW w:w="282" w:type="pct"/>
            <w:shd w:val="clear" w:color="auto" w:fill="auto"/>
            <w:vAlign w:val="bottom"/>
          </w:tcPr>
          <w:p w14:paraId="4DC84DD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c>
          <w:tcPr>
            <w:tcW w:w="551" w:type="pct"/>
            <w:shd w:val="clear" w:color="auto" w:fill="auto"/>
            <w:vAlign w:val="bottom"/>
          </w:tcPr>
          <w:p w14:paraId="185EE3E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r>
      <w:tr w:rsidR="00B94F1A" w:rsidRPr="00BF1340" w14:paraId="656A4B5B" w14:textId="77777777" w:rsidTr="00817240">
        <w:tc>
          <w:tcPr>
            <w:tcW w:w="580" w:type="pct"/>
            <w:shd w:val="clear" w:color="auto" w:fill="auto"/>
          </w:tcPr>
          <w:p w14:paraId="1AC94DD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Ethiopia</w:t>
            </w:r>
          </w:p>
        </w:tc>
        <w:tc>
          <w:tcPr>
            <w:tcW w:w="676" w:type="pct"/>
            <w:gridSpan w:val="2"/>
            <w:shd w:val="clear" w:color="auto" w:fill="auto"/>
            <w:vAlign w:val="bottom"/>
          </w:tcPr>
          <w:p w14:paraId="37BC48B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4D3D4D0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r w:rsidR="00393E66" w:rsidRPr="00BF1340">
              <w:rPr>
                <w:rFonts w:asciiTheme="minorHAnsi" w:hAnsiTheme="minorHAnsi" w:cstheme="minorHAnsi"/>
                <w:sz w:val="20"/>
                <w:szCs w:val="20"/>
              </w:rPr>
              <w:t>7</w:t>
            </w:r>
          </w:p>
        </w:tc>
        <w:tc>
          <w:tcPr>
            <w:tcW w:w="398" w:type="pct"/>
            <w:shd w:val="clear" w:color="auto" w:fill="auto"/>
            <w:vAlign w:val="bottom"/>
          </w:tcPr>
          <w:p w14:paraId="43C0A4C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9</w:t>
            </w:r>
            <w:r w:rsidR="00393E66" w:rsidRPr="00BF1340">
              <w:rPr>
                <w:rFonts w:asciiTheme="minorHAnsi" w:hAnsiTheme="minorHAnsi" w:cstheme="minorHAnsi"/>
                <w:sz w:val="20"/>
                <w:szCs w:val="20"/>
              </w:rPr>
              <w:t>7.2</w:t>
            </w:r>
          </w:p>
        </w:tc>
        <w:tc>
          <w:tcPr>
            <w:tcW w:w="399" w:type="pct"/>
            <w:shd w:val="clear" w:color="auto" w:fill="auto"/>
            <w:vAlign w:val="bottom"/>
          </w:tcPr>
          <w:p w14:paraId="507EA96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163.</w:t>
            </w:r>
            <w:r w:rsidR="00AE5623" w:rsidRPr="00BF1340">
              <w:rPr>
                <w:rFonts w:asciiTheme="minorHAnsi" w:hAnsiTheme="minorHAnsi" w:cstheme="minorHAnsi"/>
                <w:sz w:val="20"/>
                <w:szCs w:val="20"/>
              </w:rPr>
              <w:t>9</w:t>
            </w:r>
          </w:p>
        </w:tc>
        <w:tc>
          <w:tcPr>
            <w:tcW w:w="562" w:type="pct"/>
            <w:shd w:val="clear" w:color="auto" w:fill="auto"/>
            <w:vAlign w:val="bottom"/>
          </w:tcPr>
          <w:p w14:paraId="2635D45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shd w:val="clear" w:color="auto" w:fill="auto"/>
            <w:vAlign w:val="bottom"/>
          </w:tcPr>
          <w:p w14:paraId="7A1F29F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12.6</w:t>
            </w:r>
          </w:p>
        </w:tc>
        <w:tc>
          <w:tcPr>
            <w:tcW w:w="422" w:type="pct"/>
            <w:shd w:val="clear" w:color="auto" w:fill="auto"/>
            <w:vAlign w:val="bottom"/>
          </w:tcPr>
          <w:p w14:paraId="1899392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159.5</w:t>
            </w:r>
          </w:p>
        </w:tc>
        <w:tc>
          <w:tcPr>
            <w:tcW w:w="353" w:type="pct"/>
            <w:shd w:val="clear" w:color="auto" w:fill="auto"/>
            <w:vAlign w:val="bottom"/>
          </w:tcPr>
          <w:p w14:paraId="493259F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268.8</w:t>
            </w:r>
          </w:p>
        </w:tc>
        <w:tc>
          <w:tcPr>
            <w:tcW w:w="282" w:type="pct"/>
            <w:shd w:val="clear" w:color="auto" w:fill="auto"/>
            <w:vAlign w:val="bottom"/>
          </w:tcPr>
          <w:p w14:paraId="2BB25FE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c>
          <w:tcPr>
            <w:tcW w:w="551" w:type="pct"/>
            <w:shd w:val="clear" w:color="auto" w:fill="auto"/>
            <w:vAlign w:val="bottom"/>
          </w:tcPr>
          <w:p w14:paraId="7515EE7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r>
      <w:tr w:rsidR="00B94F1A" w:rsidRPr="00BF1340" w14:paraId="7978AE60" w14:textId="77777777" w:rsidTr="00817240">
        <w:tc>
          <w:tcPr>
            <w:tcW w:w="580" w:type="pct"/>
            <w:shd w:val="clear" w:color="auto" w:fill="auto"/>
          </w:tcPr>
          <w:p w14:paraId="39D9D34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Malawi</w:t>
            </w:r>
          </w:p>
        </w:tc>
        <w:tc>
          <w:tcPr>
            <w:tcW w:w="676" w:type="pct"/>
            <w:gridSpan w:val="2"/>
            <w:shd w:val="clear" w:color="auto" w:fill="auto"/>
            <w:vAlign w:val="bottom"/>
          </w:tcPr>
          <w:p w14:paraId="748B0FE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15ECF05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8.8</w:t>
            </w:r>
          </w:p>
        </w:tc>
        <w:tc>
          <w:tcPr>
            <w:tcW w:w="398" w:type="pct"/>
            <w:shd w:val="clear" w:color="auto" w:fill="auto"/>
            <w:vAlign w:val="bottom"/>
          </w:tcPr>
          <w:p w14:paraId="3DCD566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r w:rsidR="00393E66" w:rsidRPr="00BF1340">
              <w:rPr>
                <w:rFonts w:asciiTheme="minorHAnsi" w:hAnsiTheme="minorHAnsi" w:cstheme="minorHAnsi"/>
                <w:sz w:val="20"/>
                <w:szCs w:val="20"/>
              </w:rPr>
              <w:t>6.4</w:t>
            </w:r>
          </w:p>
        </w:tc>
        <w:tc>
          <w:tcPr>
            <w:tcW w:w="399" w:type="pct"/>
            <w:shd w:val="clear" w:color="auto" w:fill="auto"/>
            <w:vAlign w:val="bottom"/>
          </w:tcPr>
          <w:p w14:paraId="09799A79" w14:textId="77777777" w:rsidR="007D3F4B" w:rsidRPr="00BF1340" w:rsidRDefault="00AE5623" w:rsidP="003163C6">
            <w:pPr>
              <w:rPr>
                <w:rFonts w:asciiTheme="minorHAnsi" w:hAnsiTheme="minorHAnsi" w:cstheme="minorHAnsi"/>
                <w:sz w:val="20"/>
                <w:szCs w:val="20"/>
              </w:rPr>
            </w:pPr>
            <w:r w:rsidRPr="00BF1340">
              <w:rPr>
                <w:rFonts w:asciiTheme="minorHAnsi" w:hAnsiTheme="minorHAnsi" w:cstheme="minorHAnsi"/>
                <w:sz w:val="20"/>
                <w:szCs w:val="20"/>
              </w:rPr>
              <w:t>44.5</w:t>
            </w:r>
          </w:p>
        </w:tc>
        <w:tc>
          <w:tcPr>
            <w:tcW w:w="562" w:type="pct"/>
            <w:shd w:val="clear" w:color="auto" w:fill="auto"/>
            <w:vAlign w:val="bottom"/>
          </w:tcPr>
          <w:p w14:paraId="1927C5A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chemicals</w:t>
            </w:r>
          </w:p>
        </w:tc>
        <w:tc>
          <w:tcPr>
            <w:tcW w:w="421" w:type="pct"/>
            <w:shd w:val="clear" w:color="auto" w:fill="auto"/>
            <w:vAlign w:val="bottom"/>
          </w:tcPr>
          <w:p w14:paraId="25D5C21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8.5</w:t>
            </w:r>
          </w:p>
        </w:tc>
        <w:tc>
          <w:tcPr>
            <w:tcW w:w="422" w:type="pct"/>
            <w:shd w:val="clear" w:color="auto" w:fill="auto"/>
            <w:vAlign w:val="bottom"/>
          </w:tcPr>
          <w:p w14:paraId="148428A7"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25.4</w:t>
            </w:r>
          </w:p>
        </w:tc>
        <w:tc>
          <w:tcPr>
            <w:tcW w:w="353" w:type="pct"/>
            <w:shd w:val="clear" w:color="auto" w:fill="auto"/>
            <w:vAlign w:val="bottom"/>
          </w:tcPr>
          <w:p w14:paraId="2D1853E7"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42.</w:t>
            </w:r>
            <w:r w:rsidR="007D3F4B" w:rsidRPr="00BF1340">
              <w:rPr>
                <w:rFonts w:asciiTheme="minorHAnsi" w:hAnsiTheme="minorHAnsi" w:cstheme="minorHAnsi"/>
                <w:sz w:val="20"/>
                <w:szCs w:val="20"/>
              </w:rPr>
              <w:t>8</w:t>
            </w:r>
          </w:p>
        </w:tc>
        <w:tc>
          <w:tcPr>
            <w:tcW w:w="282" w:type="pct"/>
            <w:shd w:val="clear" w:color="auto" w:fill="auto"/>
            <w:vAlign w:val="bottom"/>
          </w:tcPr>
          <w:p w14:paraId="1957987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w:t>
            </w:r>
          </w:p>
        </w:tc>
        <w:tc>
          <w:tcPr>
            <w:tcW w:w="551" w:type="pct"/>
            <w:shd w:val="clear" w:color="auto" w:fill="auto"/>
            <w:vAlign w:val="bottom"/>
          </w:tcPr>
          <w:p w14:paraId="5080D50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w:t>
            </w:r>
          </w:p>
        </w:tc>
      </w:tr>
      <w:tr w:rsidR="00B94F1A" w:rsidRPr="00BF1340" w14:paraId="6554E747" w14:textId="77777777" w:rsidTr="00817240">
        <w:tc>
          <w:tcPr>
            <w:tcW w:w="580" w:type="pct"/>
            <w:shd w:val="clear" w:color="auto" w:fill="auto"/>
          </w:tcPr>
          <w:p w14:paraId="25C6945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Mauritius</w:t>
            </w:r>
          </w:p>
        </w:tc>
        <w:tc>
          <w:tcPr>
            <w:tcW w:w="676" w:type="pct"/>
            <w:gridSpan w:val="2"/>
            <w:shd w:val="clear" w:color="auto" w:fill="auto"/>
            <w:vAlign w:val="bottom"/>
          </w:tcPr>
          <w:p w14:paraId="4E364E1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textiles/app</w:t>
            </w:r>
          </w:p>
        </w:tc>
        <w:tc>
          <w:tcPr>
            <w:tcW w:w="356" w:type="pct"/>
            <w:shd w:val="clear" w:color="auto" w:fill="auto"/>
          </w:tcPr>
          <w:p w14:paraId="145E727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18.3</w:t>
            </w:r>
          </w:p>
        </w:tc>
        <w:tc>
          <w:tcPr>
            <w:tcW w:w="398" w:type="pct"/>
            <w:shd w:val="clear" w:color="auto" w:fill="auto"/>
            <w:vAlign w:val="bottom"/>
          </w:tcPr>
          <w:p w14:paraId="065A1C3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r w:rsidR="00393E66" w:rsidRPr="00BF1340">
              <w:rPr>
                <w:rFonts w:asciiTheme="minorHAnsi" w:hAnsiTheme="minorHAnsi" w:cstheme="minorHAnsi"/>
                <w:sz w:val="20"/>
                <w:szCs w:val="20"/>
              </w:rPr>
              <w:t>8.3</w:t>
            </w:r>
          </w:p>
        </w:tc>
        <w:tc>
          <w:tcPr>
            <w:tcW w:w="399" w:type="pct"/>
            <w:shd w:val="clear" w:color="auto" w:fill="auto"/>
            <w:vAlign w:val="bottom"/>
          </w:tcPr>
          <w:p w14:paraId="49F953C7" w14:textId="77777777" w:rsidR="007D3F4B" w:rsidRPr="00BF1340" w:rsidRDefault="00AE5623" w:rsidP="003163C6">
            <w:pPr>
              <w:rPr>
                <w:rFonts w:asciiTheme="minorHAnsi" w:hAnsiTheme="minorHAnsi" w:cstheme="minorHAnsi"/>
                <w:sz w:val="20"/>
                <w:szCs w:val="20"/>
              </w:rPr>
            </w:pPr>
            <w:r w:rsidRPr="00BF1340">
              <w:rPr>
                <w:rFonts w:asciiTheme="minorHAnsi" w:hAnsiTheme="minorHAnsi" w:cstheme="minorHAnsi"/>
                <w:sz w:val="20"/>
                <w:szCs w:val="20"/>
              </w:rPr>
              <w:t>30.</w:t>
            </w:r>
            <w:r w:rsidR="007D3F4B" w:rsidRPr="00BF1340">
              <w:rPr>
                <w:rFonts w:asciiTheme="minorHAnsi" w:hAnsiTheme="minorHAnsi" w:cstheme="minorHAnsi"/>
                <w:sz w:val="20"/>
                <w:szCs w:val="20"/>
              </w:rPr>
              <w:t>9</w:t>
            </w:r>
          </w:p>
        </w:tc>
        <w:tc>
          <w:tcPr>
            <w:tcW w:w="562" w:type="pct"/>
            <w:shd w:val="clear" w:color="auto" w:fill="auto"/>
            <w:vAlign w:val="bottom"/>
          </w:tcPr>
          <w:p w14:paraId="7D0FE56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shd w:val="clear" w:color="auto" w:fill="auto"/>
            <w:vAlign w:val="bottom"/>
          </w:tcPr>
          <w:p w14:paraId="65E0F17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30.22</w:t>
            </w:r>
          </w:p>
        </w:tc>
        <w:tc>
          <w:tcPr>
            <w:tcW w:w="422" w:type="pct"/>
            <w:shd w:val="clear" w:color="auto" w:fill="auto"/>
            <w:vAlign w:val="bottom"/>
          </w:tcPr>
          <w:p w14:paraId="019C5A0C"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30.2</w:t>
            </w:r>
          </w:p>
        </w:tc>
        <w:tc>
          <w:tcPr>
            <w:tcW w:w="353" w:type="pct"/>
            <w:shd w:val="clear" w:color="auto" w:fill="auto"/>
            <w:vAlign w:val="bottom"/>
          </w:tcPr>
          <w:p w14:paraId="66371C7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50.9</w:t>
            </w:r>
          </w:p>
        </w:tc>
        <w:tc>
          <w:tcPr>
            <w:tcW w:w="282" w:type="pct"/>
            <w:shd w:val="clear" w:color="auto" w:fill="auto"/>
            <w:vAlign w:val="bottom"/>
          </w:tcPr>
          <w:p w14:paraId="6B4C754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c>
          <w:tcPr>
            <w:tcW w:w="551" w:type="pct"/>
            <w:shd w:val="clear" w:color="auto" w:fill="auto"/>
            <w:vAlign w:val="bottom"/>
          </w:tcPr>
          <w:p w14:paraId="6F3BD48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r>
      <w:tr w:rsidR="00B94F1A" w:rsidRPr="00BF1340" w14:paraId="18D94760" w14:textId="77777777" w:rsidTr="00817240">
        <w:tc>
          <w:tcPr>
            <w:tcW w:w="580" w:type="pct"/>
            <w:shd w:val="clear" w:color="auto" w:fill="auto"/>
          </w:tcPr>
          <w:p w14:paraId="05397D7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South Africa</w:t>
            </w:r>
          </w:p>
        </w:tc>
        <w:tc>
          <w:tcPr>
            <w:tcW w:w="676" w:type="pct"/>
            <w:gridSpan w:val="2"/>
            <w:shd w:val="clear" w:color="auto" w:fill="auto"/>
            <w:vAlign w:val="bottom"/>
          </w:tcPr>
          <w:p w14:paraId="098EFC9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4D7C4BAC" w14:textId="0756FDA5"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27.</w:t>
            </w:r>
            <w:r w:rsidR="00393E66" w:rsidRPr="00BF1340">
              <w:rPr>
                <w:rFonts w:asciiTheme="minorHAnsi" w:hAnsiTheme="minorHAnsi" w:cstheme="minorHAnsi"/>
                <w:sz w:val="20"/>
                <w:szCs w:val="20"/>
              </w:rPr>
              <w:t>1</w:t>
            </w:r>
          </w:p>
        </w:tc>
        <w:tc>
          <w:tcPr>
            <w:tcW w:w="398" w:type="pct"/>
            <w:shd w:val="clear" w:color="auto" w:fill="auto"/>
            <w:vAlign w:val="bottom"/>
          </w:tcPr>
          <w:p w14:paraId="346FEF2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r w:rsidR="00393E66" w:rsidRPr="00BF1340">
              <w:rPr>
                <w:rFonts w:asciiTheme="minorHAnsi" w:hAnsiTheme="minorHAnsi" w:cstheme="minorHAnsi"/>
                <w:sz w:val="20"/>
                <w:szCs w:val="20"/>
              </w:rPr>
              <w:t>4.7</w:t>
            </w:r>
          </w:p>
        </w:tc>
        <w:tc>
          <w:tcPr>
            <w:tcW w:w="399" w:type="pct"/>
            <w:shd w:val="clear" w:color="auto" w:fill="auto"/>
            <w:vAlign w:val="bottom"/>
          </w:tcPr>
          <w:p w14:paraId="4535C98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92.2</w:t>
            </w:r>
          </w:p>
        </w:tc>
        <w:tc>
          <w:tcPr>
            <w:tcW w:w="562" w:type="pct"/>
            <w:shd w:val="clear" w:color="auto" w:fill="auto"/>
            <w:vAlign w:val="bottom"/>
          </w:tcPr>
          <w:p w14:paraId="3B8172F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coke/oil</w:t>
            </w:r>
          </w:p>
        </w:tc>
        <w:tc>
          <w:tcPr>
            <w:tcW w:w="421" w:type="pct"/>
            <w:shd w:val="clear" w:color="auto" w:fill="auto"/>
            <w:vAlign w:val="bottom"/>
          </w:tcPr>
          <w:p w14:paraId="70248B0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8.3</w:t>
            </w:r>
          </w:p>
        </w:tc>
        <w:tc>
          <w:tcPr>
            <w:tcW w:w="422" w:type="pct"/>
            <w:shd w:val="clear" w:color="auto" w:fill="auto"/>
            <w:vAlign w:val="bottom"/>
          </w:tcPr>
          <w:p w14:paraId="44F5895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r w:rsidR="00393E66" w:rsidRPr="00BF1340">
              <w:rPr>
                <w:rFonts w:asciiTheme="minorHAnsi" w:hAnsiTheme="minorHAnsi" w:cstheme="minorHAnsi"/>
                <w:sz w:val="20"/>
                <w:szCs w:val="20"/>
              </w:rPr>
              <w:t>6.8</w:t>
            </w:r>
          </w:p>
        </w:tc>
        <w:tc>
          <w:tcPr>
            <w:tcW w:w="353" w:type="pct"/>
            <w:shd w:val="clear" w:color="auto" w:fill="auto"/>
            <w:vAlign w:val="bottom"/>
          </w:tcPr>
          <w:p w14:paraId="1AA1CE42"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28.3</w:t>
            </w:r>
          </w:p>
        </w:tc>
        <w:tc>
          <w:tcPr>
            <w:tcW w:w="282" w:type="pct"/>
            <w:shd w:val="clear" w:color="auto" w:fill="auto"/>
            <w:vAlign w:val="bottom"/>
          </w:tcPr>
          <w:p w14:paraId="4C7267A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c>
          <w:tcPr>
            <w:tcW w:w="551" w:type="pct"/>
            <w:shd w:val="clear" w:color="auto" w:fill="auto"/>
            <w:vAlign w:val="bottom"/>
          </w:tcPr>
          <w:p w14:paraId="5C0076C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w:t>
            </w:r>
          </w:p>
        </w:tc>
      </w:tr>
      <w:tr w:rsidR="00B94F1A" w:rsidRPr="00BF1340" w14:paraId="4D1CF884" w14:textId="77777777" w:rsidTr="00817240">
        <w:tc>
          <w:tcPr>
            <w:tcW w:w="580" w:type="pct"/>
            <w:tcBorders>
              <w:bottom w:val="single" w:sz="4" w:space="0" w:color="auto"/>
            </w:tcBorders>
            <w:shd w:val="clear" w:color="auto" w:fill="auto"/>
          </w:tcPr>
          <w:p w14:paraId="6293DF4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Tanzania</w:t>
            </w:r>
          </w:p>
        </w:tc>
        <w:tc>
          <w:tcPr>
            <w:tcW w:w="676" w:type="pct"/>
            <w:gridSpan w:val="2"/>
            <w:tcBorders>
              <w:bottom w:val="single" w:sz="4" w:space="0" w:color="auto"/>
            </w:tcBorders>
            <w:shd w:val="clear" w:color="auto" w:fill="auto"/>
            <w:vAlign w:val="bottom"/>
          </w:tcPr>
          <w:p w14:paraId="5DE88EF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tcBorders>
              <w:bottom w:val="single" w:sz="4" w:space="0" w:color="auto"/>
            </w:tcBorders>
            <w:shd w:val="clear" w:color="auto" w:fill="auto"/>
          </w:tcPr>
          <w:p w14:paraId="3DC2599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9.4</w:t>
            </w:r>
          </w:p>
        </w:tc>
        <w:tc>
          <w:tcPr>
            <w:tcW w:w="398" w:type="pct"/>
            <w:tcBorders>
              <w:bottom w:val="single" w:sz="4" w:space="0" w:color="auto"/>
            </w:tcBorders>
            <w:shd w:val="clear" w:color="auto" w:fill="auto"/>
            <w:vAlign w:val="bottom"/>
          </w:tcPr>
          <w:p w14:paraId="63F42CA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w:t>
            </w:r>
            <w:r w:rsidR="00393E66" w:rsidRPr="00BF1340">
              <w:rPr>
                <w:rFonts w:asciiTheme="minorHAnsi" w:hAnsiTheme="minorHAnsi" w:cstheme="minorHAnsi"/>
                <w:sz w:val="20"/>
                <w:szCs w:val="20"/>
              </w:rPr>
              <w:t>1.2</w:t>
            </w:r>
          </w:p>
        </w:tc>
        <w:tc>
          <w:tcPr>
            <w:tcW w:w="399" w:type="pct"/>
            <w:tcBorders>
              <w:bottom w:val="single" w:sz="4" w:space="0" w:color="auto"/>
            </w:tcBorders>
            <w:shd w:val="clear" w:color="auto" w:fill="auto"/>
            <w:vAlign w:val="bottom"/>
          </w:tcPr>
          <w:p w14:paraId="2962F0D8" w14:textId="77777777" w:rsidR="007D3F4B" w:rsidRPr="00BF1340" w:rsidRDefault="00AE5623" w:rsidP="003163C6">
            <w:pPr>
              <w:rPr>
                <w:rFonts w:asciiTheme="minorHAnsi" w:hAnsiTheme="minorHAnsi" w:cstheme="minorHAnsi"/>
                <w:sz w:val="20"/>
                <w:szCs w:val="20"/>
              </w:rPr>
            </w:pPr>
            <w:r w:rsidRPr="00BF1340">
              <w:rPr>
                <w:rFonts w:asciiTheme="minorHAnsi" w:hAnsiTheme="minorHAnsi" w:cstheme="minorHAnsi"/>
                <w:sz w:val="20"/>
                <w:szCs w:val="20"/>
              </w:rPr>
              <w:t>69.4</w:t>
            </w:r>
          </w:p>
        </w:tc>
        <w:tc>
          <w:tcPr>
            <w:tcW w:w="562" w:type="pct"/>
            <w:tcBorders>
              <w:bottom w:val="single" w:sz="4" w:space="0" w:color="auto"/>
            </w:tcBorders>
            <w:shd w:val="clear" w:color="auto" w:fill="auto"/>
            <w:vAlign w:val="bottom"/>
          </w:tcPr>
          <w:p w14:paraId="53BE5BF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tcBorders>
              <w:bottom w:val="single" w:sz="4" w:space="0" w:color="auto"/>
            </w:tcBorders>
            <w:shd w:val="clear" w:color="auto" w:fill="auto"/>
            <w:vAlign w:val="bottom"/>
          </w:tcPr>
          <w:p w14:paraId="48DA25B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12</w:t>
            </w:r>
            <w:r w:rsidR="00393E66" w:rsidRPr="00BF1340">
              <w:rPr>
                <w:rFonts w:asciiTheme="minorHAnsi" w:hAnsiTheme="minorHAnsi" w:cstheme="minorHAnsi"/>
                <w:sz w:val="20"/>
                <w:szCs w:val="20"/>
              </w:rPr>
              <w:t>.0</w:t>
            </w:r>
          </w:p>
        </w:tc>
        <w:tc>
          <w:tcPr>
            <w:tcW w:w="422" w:type="pct"/>
            <w:tcBorders>
              <w:bottom w:val="single" w:sz="4" w:space="0" w:color="auto"/>
            </w:tcBorders>
            <w:shd w:val="clear" w:color="auto" w:fill="auto"/>
            <w:vAlign w:val="bottom"/>
          </w:tcPr>
          <w:p w14:paraId="73E585F0"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52.4</w:t>
            </w:r>
          </w:p>
        </w:tc>
        <w:tc>
          <w:tcPr>
            <w:tcW w:w="353" w:type="pct"/>
            <w:tcBorders>
              <w:bottom w:val="single" w:sz="4" w:space="0" w:color="auto"/>
            </w:tcBorders>
            <w:shd w:val="clear" w:color="auto" w:fill="auto"/>
            <w:vAlign w:val="bottom"/>
          </w:tcPr>
          <w:p w14:paraId="47504BB0"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88.3</w:t>
            </w:r>
          </w:p>
        </w:tc>
        <w:tc>
          <w:tcPr>
            <w:tcW w:w="282" w:type="pct"/>
            <w:tcBorders>
              <w:bottom w:val="single" w:sz="4" w:space="0" w:color="auto"/>
            </w:tcBorders>
            <w:shd w:val="clear" w:color="auto" w:fill="auto"/>
            <w:vAlign w:val="bottom"/>
          </w:tcPr>
          <w:p w14:paraId="6E74706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p>
        </w:tc>
        <w:tc>
          <w:tcPr>
            <w:tcW w:w="551" w:type="pct"/>
            <w:tcBorders>
              <w:bottom w:val="single" w:sz="4" w:space="0" w:color="auto"/>
            </w:tcBorders>
            <w:shd w:val="clear" w:color="auto" w:fill="auto"/>
            <w:vAlign w:val="bottom"/>
          </w:tcPr>
          <w:p w14:paraId="04084A7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r>
      <w:tr w:rsidR="007D3F4B" w:rsidRPr="00BF1340" w14:paraId="4491949E" w14:textId="77777777" w:rsidTr="00817240">
        <w:tc>
          <w:tcPr>
            <w:tcW w:w="5000" w:type="pct"/>
            <w:gridSpan w:val="12"/>
            <w:tcBorders>
              <w:top w:val="single" w:sz="4" w:space="0" w:color="auto"/>
              <w:bottom w:val="single" w:sz="4" w:space="0" w:color="auto"/>
            </w:tcBorders>
            <w:shd w:val="clear" w:color="auto" w:fill="auto"/>
          </w:tcPr>
          <w:p w14:paraId="6B76B88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Panel B: Regulatory Quality (High</w:t>
            </w:r>
            <w:r w:rsidR="0080447C" w:rsidRPr="00BF1340">
              <w:rPr>
                <w:rFonts w:asciiTheme="minorHAnsi" w:hAnsiTheme="minorHAnsi" w:cstheme="minorHAnsi"/>
                <w:sz w:val="20"/>
                <w:szCs w:val="20"/>
              </w:rPr>
              <w:t>est</w:t>
            </w:r>
            <w:r w:rsidRPr="00BF1340">
              <w:rPr>
                <w:rFonts w:asciiTheme="minorHAnsi" w:hAnsiTheme="minorHAnsi" w:cstheme="minorHAnsi"/>
                <w:sz w:val="20"/>
                <w:szCs w:val="20"/>
              </w:rPr>
              <w:t xml:space="preserve"> Africa: South Africa)</w:t>
            </w:r>
          </w:p>
        </w:tc>
      </w:tr>
      <w:tr w:rsidR="00B94F1A" w:rsidRPr="00BF1340" w14:paraId="16D53CBF" w14:textId="77777777" w:rsidTr="00817240">
        <w:tc>
          <w:tcPr>
            <w:tcW w:w="580" w:type="pct"/>
            <w:tcBorders>
              <w:top w:val="single" w:sz="4" w:space="0" w:color="auto"/>
            </w:tcBorders>
            <w:shd w:val="clear" w:color="auto" w:fill="auto"/>
          </w:tcPr>
          <w:p w14:paraId="1FFF443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Botswana</w:t>
            </w:r>
          </w:p>
        </w:tc>
        <w:tc>
          <w:tcPr>
            <w:tcW w:w="676" w:type="pct"/>
            <w:gridSpan w:val="2"/>
            <w:tcBorders>
              <w:top w:val="single" w:sz="4" w:space="0" w:color="auto"/>
            </w:tcBorders>
            <w:shd w:val="clear" w:color="auto" w:fill="auto"/>
            <w:vAlign w:val="bottom"/>
          </w:tcPr>
          <w:p w14:paraId="1EE800F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furniture/nec</w:t>
            </w:r>
          </w:p>
        </w:tc>
        <w:tc>
          <w:tcPr>
            <w:tcW w:w="356" w:type="pct"/>
            <w:tcBorders>
              <w:top w:val="single" w:sz="4" w:space="0" w:color="auto"/>
            </w:tcBorders>
            <w:shd w:val="clear" w:color="auto" w:fill="auto"/>
          </w:tcPr>
          <w:p w14:paraId="457AC70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24.</w:t>
            </w:r>
            <w:r w:rsidR="00393E66" w:rsidRPr="00BF1340">
              <w:rPr>
                <w:rFonts w:asciiTheme="minorHAnsi" w:hAnsiTheme="minorHAnsi" w:cstheme="minorHAnsi"/>
                <w:sz w:val="20"/>
                <w:szCs w:val="20"/>
              </w:rPr>
              <w:t>9</w:t>
            </w:r>
          </w:p>
        </w:tc>
        <w:tc>
          <w:tcPr>
            <w:tcW w:w="398" w:type="pct"/>
            <w:tcBorders>
              <w:top w:val="single" w:sz="4" w:space="0" w:color="auto"/>
            </w:tcBorders>
            <w:shd w:val="clear" w:color="auto" w:fill="auto"/>
            <w:vAlign w:val="bottom"/>
          </w:tcPr>
          <w:p w14:paraId="1232E8B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26.72</w:t>
            </w:r>
          </w:p>
        </w:tc>
        <w:tc>
          <w:tcPr>
            <w:tcW w:w="399" w:type="pct"/>
            <w:tcBorders>
              <w:top w:val="single" w:sz="4" w:space="0" w:color="auto"/>
            </w:tcBorders>
            <w:shd w:val="clear" w:color="auto" w:fill="auto"/>
            <w:vAlign w:val="bottom"/>
          </w:tcPr>
          <w:p w14:paraId="461731D0"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55.3</w:t>
            </w:r>
          </w:p>
        </w:tc>
        <w:tc>
          <w:tcPr>
            <w:tcW w:w="562" w:type="pct"/>
            <w:tcBorders>
              <w:top w:val="single" w:sz="4" w:space="0" w:color="auto"/>
            </w:tcBorders>
            <w:shd w:val="clear" w:color="auto" w:fill="auto"/>
            <w:vAlign w:val="bottom"/>
          </w:tcPr>
          <w:p w14:paraId="02DED74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tcBorders>
              <w:top w:val="single" w:sz="4" w:space="0" w:color="auto"/>
            </w:tcBorders>
            <w:shd w:val="clear" w:color="auto" w:fill="auto"/>
            <w:vAlign w:val="bottom"/>
          </w:tcPr>
          <w:p w14:paraId="39F562A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27.</w:t>
            </w:r>
            <w:r w:rsidR="00393E66" w:rsidRPr="00BF1340">
              <w:rPr>
                <w:rFonts w:asciiTheme="minorHAnsi" w:hAnsiTheme="minorHAnsi" w:cstheme="minorHAnsi"/>
                <w:sz w:val="20"/>
                <w:szCs w:val="20"/>
              </w:rPr>
              <w:t>7</w:t>
            </w:r>
          </w:p>
        </w:tc>
        <w:tc>
          <w:tcPr>
            <w:tcW w:w="422" w:type="pct"/>
            <w:tcBorders>
              <w:top w:val="single" w:sz="4" w:space="0" w:color="auto"/>
            </w:tcBorders>
            <w:shd w:val="clear" w:color="auto" w:fill="auto"/>
            <w:vAlign w:val="bottom"/>
          </w:tcPr>
          <w:p w14:paraId="15D7ADA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29.7</w:t>
            </w:r>
          </w:p>
        </w:tc>
        <w:tc>
          <w:tcPr>
            <w:tcW w:w="353" w:type="pct"/>
            <w:tcBorders>
              <w:top w:val="single" w:sz="4" w:space="0" w:color="auto"/>
            </w:tcBorders>
            <w:shd w:val="clear" w:color="auto" w:fill="auto"/>
            <w:vAlign w:val="bottom"/>
          </w:tcPr>
          <w:p w14:paraId="0E2D43C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61.</w:t>
            </w:r>
            <w:r w:rsidR="00393E66" w:rsidRPr="00BF1340">
              <w:rPr>
                <w:rFonts w:asciiTheme="minorHAnsi" w:hAnsiTheme="minorHAnsi" w:cstheme="minorHAnsi"/>
                <w:sz w:val="20"/>
                <w:szCs w:val="20"/>
              </w:rPr>
              <w:t>6</w:t>
            </w:r>
          </w:p>
        </w:tc>
        <w:tc>
          <w:tcPr>
            <w:tcW w:w="282" w:type="pct"/>
            <w:tcBorders>
              <w:top w:val="single" w:sz="4" w:space="0" w:color="auto"/>
            </w:tcBorders>
            <w:shd w:val="clear" w:color="auto" w:fill="auto"/>
            <w:vAlign w:val="bottom"/>
          </w:tcPr>
          <w:p w14:paraId="798EAD1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c>
          <w:tcPr>
            <w:tcW w:w="551" w:type="pct"/>
            <w:tcBorders>
              <w:top w:val="single" w:sz="4" w:space="0" w:color="auto"/>
            </w:tcBorders>
            <w:shd w:val="clear" w:color="auto" w:fill="auto"/>
            <w:vAlign w:val="bottom"/>
          </w:tcPr>
          <w:p w14:paraId="71925BB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w:t>
            </w:r>
          </w:p>
        </w:tc>
      </w:tr>
      <w:tr w:rsidR="00B94F1A" w:rsidRPr="00BF1340" w14:paraId="444805ED" w14:textId="77777777" w:rsidTr="00817240">
        <w:tc>
          <w:tcPr>
            <w:tcW w:w="580" w:type="pct"/>
            <w:shd w:val="clear" w:color="auto" w:fill="auto"/>
          </w:tcPr>
          <w:p w14:paraId="0D8826F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Burundi</w:t>
            </w:r>
          </w:p>
        </w:tc>
        <w:tc>
          <w:tcPr>
            <w:tcW w:w="676" w:type="pct"/>
            <w:gridSpan w:val="2"/>
            <w:shd w:val="clear" w:color="auto" w:fill="auto"/>
            <w:vAlign w:val="bottom"/>
          </w:tcPr>
          <w:p w14:paraId="3B4B47F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52159D9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-7.6</w:t>
            </w:r>
          </w:p>
        </w:tc>
        <w:tc>
          <w:tcPr>
            <w:tcW w:w="398" w:type="pct"/>
            <w:shd w:val="clear" w:color="auto" w:fill="auto"/>
            <w:vAlign w:val="bottom"/>
          </w:tcPr>
          <w:p w14:paraId="224B53D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21.64</w:t>
            </w:r>
          </w:p>
        </w:tc>
        <w:tc>
          <w:tcPr>
            <w:tcW w:w="399" w:type="pct"/>
            <w:shd w:val="clear" w:color="auto" w:fill="auto"/>
            <w:vAlign w:val="bottom"/>
          </w:tcPr>
          <w:p w14:paraId="3EDB47F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44.8</w:t>
            </w:r>
          </w:p>
        </w:tc>
        <w:tc>
          <w:tcPr>
            <w:tcW w:w="562" w:type="pct"/>
            <w:shd w:val="clear" w:color="auto" w:fill="auto"/>
            <w:vAlign w:val="bottom"/>
          </w:tcPr>
          <w:p w14:paraId="7D650D7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metals</w:t>
            </w:r>
          </w:p>
        </w:tc>
        <w:tc>
          <w:tcPr>
            <w:tcW w:w="421" w:type="pct"/>
            <w:shd w:val="clear" w:color="auto" w:fill="auto"/>
            <w:vAlign w:val="bottom"/>
          </w:tcPr>
          <w:p w14:paraId="28C3AC8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-2.7</w:t>
            </w:r>
          </w:p>
        </w:tc>
        <w:tc>
          <w:tcPr>
            <w:tcW w:w="422" w:type="pct"/>
            <w:shd w:val="clear" w:color="auto" w:fill="auto"/>
            <w:vAlign w:val="bottom"/>
          </w:tcPr>
          <w:p w14:paraId="75BDDC4D"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7.8</w:t>
            </w:r>
          </w:p>
        </w:tc>
        <w:tc>
          <w:tcPr>
            <w:tcW w:w="353" w:type="pct"/>
            <w:shd w:val="clear" w:color="auto" w:fill="auto"/>
            <w:vAlign w:val="bottom"/>
          </w:tcPr>
          <w:p w14:paraId="0FB97774"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16.1</w:t>
            </w:r>
          </w:p>
        </w:tc>
        <w:tc>
          <w:tcPr>
            <w:tcW w:w="282" w:type="pct"/>
            <w:shd w:val="clear" w:color="auto" w:fill="auto"/>
            <w:vAlign w:val="bottom"/>
          </w:tcPr>
          <w:p w14:paraId="59284BD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c>
          <w:tcPr>
            <w:tcW w:w="551" w:type="pct"/>
            <w:shd w:val="clear" w:color="auto" w:fill="auto"/>
            <w:vAlign w:val="bottom"/>
          </w:tcPr>
          <w:p w14:paraId="79F1975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r>
      <w:tr w:rsidR="00B94F1A" w:rsidRPr="00BF1340" w14:paraId="1B01CA4F" w14:textId="77777777" w:rsidTr="00817240">
        <w:tc>
          <w:tcPr>
            <w:tcW w:w="580" w:type="pct"/>
            <w:shd w:val="clear" w:color="auto" w:fill="auto"/>
          </w:tcPr>
          <w:p w14:paraId="1A1831C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Ethiopia</w:t>
            </w:r>
          </w:p>
        </w:tc>
        <w:tc>
          <w:tcPr>
            <w:tcW w:w="676" w:type="pct"/>
            <w:gridSpan w:val="2"/>
            <w:shd w:val="clear" w:color="auto" w:fill="auto"/>
            <w:vAlign w:val="bottom"/>
          </w:tcPr>
          <w:p w14:paraId="2D3AB9F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40FC4F2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-7.6</w:t>
            </w:r>
          </w:p>
        </w:tc>
        <w:tc>
          <w:tcPr>
            <w:tcW w:w="398" w:type="pct"/>
            <w:shd w:val="clear" w:color="auto" w:fill="auto"/>
            <w:vAlign w:val="bottom"/>
          </w:tcPr>
          <w:p w14:paraId="2A758DF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76.33</w:t>
            </w:r>
          </w:p>
        </w:tc>
        <w:tc>
          <w:tcPr>
            <w:tcW w:w="399" w:type="pct"/>
            <w:shd w:val="clear" w:color="auto" w:fill="auto"/>
            <w:vAlign w:val="bottom"/>
          </w:tcPr>
          <w:p w14:paraId="7AD528A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158</w:t>
            </w:r>
          </w:p>
        </w:tc>
        <w:tc>
          <w:tcPr>
            <w:tcW w:w="562" w:type="pct"/>
            <w:shd w:val="clear" w:color="auto" w:fill="auto"/>
            <w:vAlign w:val="bottom"/>
          </w:tcPr>
          <w:p w14:paraId="5E8597A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shd w:val="clear" w:color="auto" w:fill="auto"/>
            <w:vAlign w:val="bottom"/>
          </w:tcPr>
          <w:p w14:paraId="4617238D"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-12.5</w:t>
            </w:r>
          </w:p>
        </w:tc>
        <w:tc>
          <w:tcPr>
            <w:tcW w:w="422" w:type="pct"/>
            <w:shd w:val="clear" w:color="auto" w:fill="auto"/>
            <w:vAlign w:val="bottom"/>
          </w:tcPr>
          <w:p w14:paraId="00BBC22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125.2</w:t>
            </w:r>
          </w:p>
        </w:tc>
        <w:tc>
          <w:tcPr>
            <w:tcW w:w="353" w:type="pct"/>
            <w:shd w:val="clear" w:color="auto" w:fill="auto"/>
            <w:vAlign w:val="bottom"/>
          </w:tcPr>
          <w:p w14:paraId="3E14E5AE"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259.2</w:t>
            </w:r>
          </w:p>
        </w:tc>
        <w:tc>
          <w:tcPr>
            <w:tcW w:w="282" w:type="pct"/>
            <w:shd w:val="clear" w:color="auto" w:fill="auto"/>
            <w:vAlign w:val="bottom"/>
          </w:tcPr>
          <w:p w14:paraId="42BC19E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c>
          <w:tcPr>
            <w:tcW w:w="551" w:type="pct"/>
            <w:shd w:val="clear" w:color="auto" w:fill="auto"/>
            <w:vAlign w:val="bottom"/>
          </w:tcPr>
          <w:p w14:paraId="453B9CF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r>
      <w:tr w:rsidR="00B94F1A" w:rsidRPr="00BF1340" w14:paraId="7C625297" w14:textId="77777777" w:rsidTr="00817240">
        <w:tc>
          <w:tcPr>
            <w:tcW w:w="580" w:type="pct"/>
            <w:shd w:val="clear" w:color="auto" w:fill="auto"/>
          </w:tcPr>
          <w:p w14:paraId="2EBB07F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Malawi</w:t>
            </w:r>
          </w:p>
        </w:tc>
        <w:tc>
          <w:tcPr>
            <w:tcW w:w="676" w:type="pct"/>
            <w:gridSpan w:val="2"/>
            <w:shd w:val="clear" w:color="auto" w:fill="auto"/>
            <w:vAlign w:val="bottom"/>
          </w:tcPr>
          <w:p w14:paraId="582DBC0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6D93AAA4"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4.8</w:t>
            </w:r>
          </w:p>
        </w:tc>
        <w:tc>
          <w:tcPr>
            <w:tcW w:w="398" w:type="pct"/>
            <w:shd w:val="clear" w:color="auto" w:fill="auto"/>
            <w:vAlign w:val="bottom"/>
          </w:tcPr>
          <w:p w14:paraId="55063BB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20.73</w:t>
            </w:r>
          </w:p>
        </w:tc>
        <w:tc>
          <w:tcPr>
            <w:tcW w:w="399" w:type="pct"/>
            <w:shd w:val="clear" w:color="auto" w:fill="auto"/>
            <w:vAlign w:val="bottom"/>
          </w:tcPr>
          <w:p w14:paraId="6B2D5868"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42.9</w:t>
            </w:r>
          </w:p>
        </w:tc>
        <w:tc>
          <w:tcPr>
            <w:tcW w:w="562" w:type="pct"/>
            <w:shd w:val="clear" w:color="auto" w:fill="auto"/>
            <w:vAlign w:val="bottom"/>
          </w:tcPr>
          <w:p w14:paraId="45A57CD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chemicals</w:t>
            </w:r>
          </w:p>
        </w:tc>
        <w:tc>
          <w:tcPr>
            <w:tcW w:w="421" w:type="pct"/>
            <w:shd w:val="clear" w:color="auto" w:fill="auto"/>
            <w:vAlign w:val="bottom"/>
          </w:tcPr>
          <w:p w14:paraId="78B28BFB"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4.6</w:t>
            </w:r>
          </w:p>
        </w:tc>
        <w:tc>
          <w:tcPr>
            <w:tcW w:w="422" w:type="pct"/>
            <w:shd w:val="clear" w:color="auto" w:fill="auto"/>
            <w:vAlign w:val="bottom"/>
          </w:tcPr>
          <w:p w14:paraId="74B11A8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19.9</w:t>
            </w:r>
          </w:p>
        </w:tc>
        <w:tc>
          <w:tcPr>
            <w:tcW w:w="353" w:type="pct"/>
            <w:shd w:val="clear" w:color="auto" w:fill="auto"/>
            <w:vAlign w:val="bottom"/>
          </w:tcPr>
          <w:p w14:paraId="4952F705"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41.2</w:t>
            </w:r>
          </w:p>
        </w:tc>
        <w:tc>
          <w:tcPr>
            <w:tcW w:w="282" w:type="pct"/>
            <w:shd w:val="clear" w:color="auto" w:fill="auto"/>
            <w:vAlign w:val="bottom"/>
          </w:tcPr>
          <w:p w14:paraId="0EDB562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w:t>
            </w:r>
          </w:p>
        </w:tc>
        <w:tc>
          <w:tcPr>
            <w:tcW w:w="551" w:type="pct"/>
            <w:shd w:val="clear" w:color="auto" w:fill="auto"/>
            <w:vAlign w:val="bottom"/>
          </w:tcPr>
          <w:p w14:paraId="0F85001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r>
      <w:tr w:rsidR="00B94F1A" w:rsidRPr="00BF1340" w14:paraId="51266F64" w14:textId="77777777" w:rsidTr="00817240">
        <w:tc>
          <w:tcPr>
            <w:tcW w:w="580" w:type="pct"/>
            <w:shd w:val="clear" w:color="auto" w:fill="auto"/>
          </w:tcPr>
          <w:p w14:paraId="630766E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Mauritius</w:t>
            </w:r>
          </w:p>
        </w:tc>
        <w:tc>
          <w:tcPr>
            <w:tcW w:w="676" w:type="pct"/>
            <w:gridSpan w:val="2"/>
            <w:shd w:val="clear" w:color="auto" w:fill="auto"/>
            <w:vAlign w:val="bottom"/>
          </w:tcPr>
          <w:p w14:paraId="2E04D73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textiles/app</w:t>
            </w:r>
          </w:p>
        </w:tc>
        <w:tc>
          <w:tcPr>
            <w:tcW w:w="356" w:type="pct"/>
            <w:shd w:val="clear" w:color="auto" w:fill="auto"/>
          </w:tcPr>
          <w:p w14:paraId="0AC1EEAB"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14.2</w:t>
            </w:r>
          </w:p>
        </w:tc>
        <w:tc>
          <w:tcPr>
            <w:tcW w:w="398" w:type="pct"/>
            <w:shd w:val="clear" w:color="auto" w:fill="auto"/>
            <w:vAlign w:val="bottom"/>
          </w:tcPr>
          <w:p w14:paraId="4CEDCFB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14.39</w:t>
            </w:r>
          </w:p>
        </w:tc>
        <w:tc>
          <w:tcPr>
            <w:tcW w:w="399" w:type="pct"/>
            <w:shd w:val="clear" w:color="auto" w:fill="auto"/>
            <w:vAlign w:val="bottom"/>
          </w:tcPr>
          <w:p w14:paraId="5A4779A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29.8</w:t>
            </w:r>
          </w:p>
        </w:tc>
        <w:tc>
          <w:tcPr>
            <w:tcW w:w="562" w:type="pct"/>
            <w:shd w:val="clear" w:color="auto" w:fill="auto"/>
            <w:vAlign w:val="bottom"/>
          </w:tcPr>
          <w:p w14:paraId="0312B60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shd w:val="clear" w:color="auto" w:fill="auto"/>
            <w:vAlign w:val="bottom"/>
          </w:tcPr>
          <w:p w14:paraId="7FDE643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23.3</w:t>
            </w:r>
          </w:p>
        </w:tc>
        <w:tc>
          <w:tcPr>
            <w:tcW w:w="422" w:type="pct"/>
            <w:shd w:val="clear" w:color="auto" w:fill="auto"/>
            <w:vAlign w:val="bottom"/>
          </w:tcPr>
          <w:p w14:paraId="11B76FD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r w:rsidR="00393E66" w:rsidRPr="00BF1340">
              <w:rPr>
                <w:rFonts w:asciiTheme="minorHAnsi" w:hAnsiTheme="minorHAnsi" w:cstheme="minorHAnsi"/>
                <w:sz w:val="20"/>
                <w:szCs w:val="20"/>
              </w:rPr>
              <w:t>3.7</w:t>
            </w:r>
          </w:p>
        </w:tc>
        <w:tc>
          <w:tcPr>
            <w:tcW w:w="353" w:type="pct"/>
            <w:shd w:val="clear" w:color="auto" w:fill="auto"/>
            <w:vAlign w:val="bottom"/>
          </w:tcPr>
          <w:p w14:paraId="454B78FB"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49.1</w:t>
            </w:r>
          </w:p>
        </w:tc>
        <w:tc>
          <w:tcPr>
            <w:tcW w:w="282" w:type="pct"/>
            <w:shd w:val="clear" w:color="auto" w:fill="auto"/>
            <w:vAlign w:val="bottom"/>
          </w:tcPr>
          <w:p w14:paraId="7B6D0D2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c>
          <w:tcPr>
            <w:tcW w:w="551" w:type="pct"/>
            <w:shd w:val="clear" w:color="auto" w:fill="auto"/>
            <w:vAlign w:val="bottom"/>
          </w:tcPr>
          <w:p w14:paraId="219E4E1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r>
      <w:tr w:rsidR="00B94F1A" w:rsidRPr="00BF1340" w14:paraId="1395336E" w14:textId="77777777" w:rsidTr="00817240">
        <w:tc>
          <w:tcPr>
            <w:tcW w:w="580" w:type="pct"/>
            <w:shd w:val="clear" w:color="auto" w:fill="auto"/>
          </w:tcPr>
          <w:p w14:paraId="4A8C4185"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South Africa</w:t>
            </w:r>
          </w:p>
        </w:tc>
        <w:tc>
          <w:tcPr>
            <w:tcW w:w="676" w:type="pct"/>
            <w:gridSpan w:val="2"/>
            <w:shd w:val="clear" w:color="auto" w:fill="auto"/>
            <w:vAlign w:val="bottom"/>
          </w:tcPr>
          <w:p w14:paraId="01BA5E4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65BF0D19"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43.0</w:t>
            </w:r>
          </w:p>
        </w:tc>
        <w:tc>
          <w:tcPr>
            <w:tcW w:w="398" w:type="pct"/>
            <w:shd w:val="clear" w:color="auto" w:fill="auto"/>
            <w:vAlign w:val="bottom"/>
          </w:tcPr>
          <w:p w14:paraId="6D66735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42.97</w:t>
            </w:r>
          </w:p>
        </w:tc>
        <w:tc>
          <w:tcPr>
            <w:tcW w:w="399" w:type="pct"/>
            <w:shd w:val="clear" w:color="auto" w:fill="auto"/>
            <w:vAlign w:val="bottom"/>
          </w:tcPr>
          <w:p w14:paraId="0E63B9BC"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88.9</w:t>
            </w:r>
          </w:p>
        </w:tc>
        <w:tc>
          <w:tcPr>
            <w:tcW w:w="562" w:type="pct"/>
            <w:shd w:val="clear" w:color="auto" w:fill="auto"/>
            <w:vAlign w:val="bottom"/>
          </w:tcPr>
          <w:p w14:paraId="22D90EC8"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coke/oil</w:t>
            </w:r>
          </w:p>
        </w:tc>
        <w:tc>
          <w:tcPr>
            <w:tcW w:w="421" w:type="pct"/>
            <w:shd w:val="clear" w:color="auto" w:fill="auto"/>
            <w:vAlign w:val="bottom"/>
          </w:tcPr>
          <w:p w14:paraId="7C18CBF2"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13.2</w:t>
            </w:r>
          </w:p>
        </w:tc>
        <w:tc>
          <w:tcPr>
            <w:tcW w:w="422" w:type="pct"/>
            <w:shd w:val="clear" w:color="auto" w:fill="auto"/>
            <w:vAlign w:val="bottom"/>
          </w:tcPr>
          <w:p w14:paraId="5E54F315"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13.2</w:t>
            </w:r>
          </w:p>
        </w:tc>
        <w:tc>
          <w:tcPr>
            <w:tcW w:w="353" w:type="pct"/>
            <w:shd w:val="clear" w:color="auto" w:fill="auto"/>
            <w:vAlign w:val="bottom"/>
          </w:tcPr>
          <w:p w14:paraId="7BFE4351"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27.2</w:t>
            </w:r>
          </w:p>
        </w:tc>
        <w:tc>
          <w:tcPr>
            <w:tcW w:w="282" w:type="pct"/>
            <w:shd w:val="clear" w:color="auto" w:fill="auto"/>
            <w:vAlign w:val="bottom"/>
          </w:tcPr>
          <w:p w14:paraId="646980B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c>
          <w:tcPr>
            <w:tcW w:w="551" w:type="pct"/>
            <w:shd w:val="clear" w:color="auto" w:fill="auto"/>
            <w:vAlign w:val="bottom"/>
          </w:tcPr>
          <w:p w14:paraId="3E7B19A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r>
      <w:tr w:rsidR="00B94F1A" w:rsidRPr="00BF1340" w14:paraId="78D79446" w14:textId="77777777" w:rsidTr="00817240">
        <w:tc>
          <w:tcPr>
            <w:tcW w:w="580" w:type="pct"/>
            <w:tcBorders>
              <w:bottom w:val="single" w:sz="4" w:space="0" w:color="auto"/>
            </w:tcBorders>
            <w:shd w:val="clear" w:color="auto" w:fill="auto"/>
          </w:tcPr>
          <w:p w14:paraId="5DE2C92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Tanzania</w:t>
            </w:r>
          </w:p>
        </w:tc>
        <w:tc>
          <w:tcPr>
            <w:tcW w:w="676" w:type="pct"/>
            <w:gridSpan w:val="2"/>
            <w:tcBorders>
              <w:bottom w:val="single" w:sz="4" w:space="0" w:color="auto"/>
            </w:tcBorders>
            <w:shd w:val="clear" w:color="auto" w:fill="auto"/>
            <w:vAlign w:val="bottom"/>
          </w:tcPr>
          <w:p w14:paraId="604C580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tcBorders>
              <w:bottom w:val="single" w:sz="4" w:space="0" w:color="auto"/>
            </w:tcBorders>
            <w:shd w:val="clear" w:color="auto" w:fill="auto"/>
          </w:tcPr>
          <w:p w14:paraId="6BD9E37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9.4</w:t>
            </w:r>
          </w:p>
        </w:tc>
        <w:tc>
          <w:tcPr>
            <w:tcW w:w="398" w:type="pct"/>
            <w:tcBorders>
              <w:bottom w:val="single" w:sz="4" w:space="0" w:color="auto"/>
            </w:tcBorders>
            <w:shd w:val="clear" w:color="auto" w:fill="auto"/>
            <w:vAlign w:val="bottom"/>
          </w:tcPr>
          <w:p w14:paraId="20F89E7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32.35</w:t>
            </w:r>
          </w:p>
        </w:tc>
        <w:tc>
          <w:tcPr>
            <w:tcW w:w="399" w:type="pct"/>
            <w:tcBorders>
              <w:bottom w:val="single" w:sz="4" w:space="0" w:color="auto"/>
            </w:tcBorders>
            <w:shd w:val="clear" w:color="auto" w:fill="auto"/>
            <w:vAlign w:val="bottom"/>
          </w:tcPr>
          <w:p w14:paraId="7CE4A288"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67.0</w:t>
            </w:r>
          </w:p>
        </w:tc>
        <w:tc>
          <w:tcPr>
            <w:tcW w:w="562" w:type="pct"/>
            <w:tcBorders>
              <w:bottom w:val="single" w:sz="4" w:space="0" w:color="auto"/>
            </w:tcBorders>
            <w:shd w:val="clear" w:color="auto" w:fill="auto"/>
            <w:vAlign w:val="bottom"/>
          </w:tcPr>
          <w:p w14:paraId="6A3C310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tcBorders>
              <w:bottom w:val="single" w:sz="4" w:space="0" w:color="auto"/>
            </w:tcBorders>
            <w:shd w:val="clear" w:color="auto" w:fill="auto"/>
            <w:vAlign w:val="bottom"/>
          </w:tcPr>
          <w:p w14:paraId="223253BB"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11.9</w:t>
            </w:r>
          </w:p>
        </w:tc>
        <w:tc>
          <w:tcPr>
            <w:tcW w:w="422" w:type="pct"/>
            <w:tcBorders>
              <w:bottom w:val="single" w:sz="4" w:space="0" w:color="auto"/>
            </w:tcBorders>
            <w:shd w:val="clear" w:color="auto" w:fill="auto"/>
            <w:vAlign w:val="bottom"/>
          </w:tcPr>
          <w:p w14:paraId="7FC2F38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41.1</w:t>
            </w:r>
          </w:p>
        </w:tc>
        <w:tc>
          <w:tcPr>
            <w:tcW w:w="353" w:type="pct"/>
            <w:tcBorders>
              <w:bottom w:val="single" w:sz="4" w:space="0" w:color="auto"/>
            </w:tcBorders>
            <w:shd w:val="clear" w:color="auto" w:fill="auto"/>
            <w:vAlign w:val="bottom"/>
          </w:tcPr>
          <w:p w14:paraId="7504ECD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85.1</w:t>
            </w:r>
          </w:p>
        </w:tc>
        <w:tc>
          <w:tcPr>
            <w:tcW w:w="282" w:type="pct"/>
            <w:tcBorders>
              <w:bottom w:val="single" w:sz="4" w:space="0" w:color="auto"/>
            </w:tcBorders>
            <w:shd w:val="clear" w:color="auto" w:fill="auto"/>
            <w:vAlign w:val="bottom"/>
          </w:tcPr>
          <w:p w14:paraId="58FEBE8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p>
        </w:tc>
        <w:tc>
          <w:tcPr>
            <w:tcW w:w="551" w:type="pct"/>
            <w:tcBorders>
              <w:bottom w:val="single" w:sz="4" w:space="0" w:color="auto"/>
            </w:tcBorders>
            <w:shd w:val="clear" w:color="auto" w:fill="auto"/>
            <w:vAlign w:val="bottom"/>
          </w:tcPr>
          <w:p w14:paraId="3FDF694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p>
        </w:tc>
      </w:tr>
      <w:tr w:rsidR="007D3F4B" w:rsidRPr="00BF1340" w14:paraId="6255D188" w14:textId="77777777" w:rsidTr="00817240">
        <w:tc>
          <w:tcPr>
            <w:tcW w:w="5000" w:type="pct"/>
            <w:gridSpan w:val="12"/>
            <w:tcBorders>
              <w:top w:val="single" w:sz="4" w:space="0" w:color="auto"/>
              <w:bottom w:val="single" w:sz="4" w:space="0" w:color="auto"/>
            </w:tcBorders>
            <w:shd w:val="clear" w:color="auto" w:fill="auto"/>
          </w:tcPr>
          <w:p w14:paraId="0160317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Panel C: Control of Corruption (High</w:t>
            </w:r>
            <w:r w:rsidR="0080447C" w:rsidRPr="00BF1340">
              <w:rPr>
                <w:rFonts w:asciiTheme="minorHAnsi" w:hAnsiTheme="minorHAnsi" w:cstheme="minorHAnsi"/>
                <w:sz w:val="20"/>
                <w:szCs w:val="20"/>
              </w:rPr>
              <w:t>est</w:t>
            </w:r>
            <w:r w:rsidRPr="00BF1340">
              <w:rPr>
                <w:rFonts w:asciiTheme="minorHAnsi" w:hAnsiTheme="minorHAnsi" w:cstheme="minorHAnsi"/>
                <w:sz w:val="20"/>
                <w:szCs w:val="20"/>
              </w:rPr>
              <w:t xml:space="preserve"> Africa: Botswana)</w:t>
            </w:r>
          </w:p>
        </w:tc>
      </w:tr>
      <w:tr w:rsidR="00B94F1A" w:rsidRPr="00BF1340" w14:paraId="49F0BEBC" w14:textId="77777777" w:rsidTr="00817240">
        <w:tc>
          <w:tcPr>
            <w:tcW w:w="580" w:type="pct"/>
            <w:tcBorders>
              <w:top w:val="single" w:sz="4" w:space="0" w:color="auto"/>
            </w:tcBorders>
            <w:shd w:val="clear" w:color="auto" w:fill="auto"/>
          </w:tcPr>
          <w:p w14:paraId="1154369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Botswana</w:t>
            </w:r>
          </w:p>
        </w:tc>
        <w:tc>
          <w:tcPr>
            <w:tcW w:w="676" w:type="pct"/>
            <w:gridSpan w:val="2"/>
            <w:tcBorders>
              <w:top w:val="single" w:sz="4" w:space="0" w:color="auto"/>
            </w:tcBorders>
            <w:shd w:val="clear" w:color="auto" w:fill="auto"/>
            <w:vAlign w:val="bottom"/>
          </w:tcPr>
          <w:p w14:paraId="66BDDD5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furniture/nec</w:t>
            </w:r>
          </w:p>
        </w:tc>
        <w:tc>
          <w:tcPr>
            <w:tcW w:w="356" w:type="pct"/>
            <w:tcBorders>
              <w:top w:val="single" w:sz="4" w:space="0" w:color="auto"/>
            </w:tcBorders>
            <w:shd w:val="clear" w:color="auto" w:fill="auto"/>
          </w:tcPr>
          <w:p w14:paraId="1CE076A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34.3</w:t>
            </w:r>
          </w:p>
        </w:tc>
        <w:tc>
          <w:tcPr>
            <w:tcW w:w="398" w:type="pct"/>
            <w:tcBorders>
              <w:top w:val="single" w:sz="4" w:space="0" w:color="auto"/>
            </w:tcBorders>
            <w:shd w:val="clear" w:color="auto" w:fill="auto"/>
            <w:vAlign w:val="bottom"/>
          </w:tcPr>
          <w:p w14:paraId="6A355CD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34.32</w:t>
            </w:r>
          </w:p>
        </w:tc>
        <w:tc>
          <w:tcPr>
            <w:tcW w:w="399" w:type="pct"/>
            <w:tcBorders>
              <w:top w:val="single" w:sz="4" w:space="0" w:color="auto"/>
            </w:tcBorders>
            <w:shd w:val="clear" w:color="auto" w:fill="auto"/>
            <w:vAlign w:val="bottom"/>
          </w:tcPr>
          <w:p w14:paraId="1C3721A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62.2</w:t>
            </w:r>
          </w:p>
        </w:tc>
        <w:tc>
          <w:tcPr>
            <w:tcW w:w="562" w:type="pct"/>
            <w:tcBorders>
              <w:top w:val="single" w:sz="4" w:space="0" w:color="auto"/>
            </w:tcBorders>
            <w:shd w:val="clear" w:color="auto" w:fill="auto"/>
            <w:vAlign w:val="bottom"/>
          </w:tcPr>
          <w:p w14:paraId="0A121DE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tcBorders>
              <w:top w:val="single" w:sz="4" w:space="0" w:color="auto"/>
            </w:tcBorders>
            <w:shd w:val="clear" w:color="auto" w:fill="auto"/>
            <w:vAlign w:val="bottom"/>
          </w:tcPr>
          <w:p w14:paraId="74128095"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38.2</w:t>
            </w:r>
          </w:p>
        </w:tc>
        <w:tc>
          <w:tcPr>
            <w:tcW w:w="422" w:type="pct"/>
            <w:tcBorders>
              <w:top w:val="single" w:sz="4" w:space="0" w:color="auto"/>
            </w:tcBorders>
            <w:shd w:val="clear" w:color="auto" w:fill="auto"/>
            <w:vAlign w:val="bottom"/>
          </w:tcPr>
          <w:p w14:paraId="04DBC78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38.2</w:t>
            </w:r>
          </w:p>
        </w:tc>
        <w:tc>
          <w:tcPr>
            <w:tcW w:w="353" w:type="pct"/>
            <w:tcBorders>
              <w:top w:val="single" w:sz="4" w:space="0" w:color="auto"/>
            </w:tcBorders>
            <w:shd w:val="clear" w:color="auto" w:fill="auto"/>
            <w:vAlign w:val="bottom"/>
          </w:tcPr>
          <w:p w14:paraId="7E8208A9"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69.3</w:t>
            </w:r>
          </w:p>
        </w:tc>
        <w:tc>
          <w:tcPr>
            <w:tcW w:w="282" w:type="pct"/>
            <w:tcBorders>
              <w:top w:val="single" w:sz="4" w:space="0" w:color="auto"/>
            </w:tcBorders>
            <w:shd w:val="clear" w:color="auto" w:fill="auto"/>
            <w:vAlign w:val="bottom"/>
          </w:tcPr>
          <w:p w14:paraId="5D93494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c>
          <w:tcPr>
            <w:tcW w:w="551" w:type="pct"/>
            <w:tcBorders>
              <w:top w:val="single" w:sz="4" w:space="0" w:color="auto"/>
            </w:tcBorders>
            <w:shd w:val="clear" w:color="auto" w:fill="auto"/>
            <w:vAlign w:val="bottom"/>
          </w:tcPr>
          <w:p w14:paraId="767036B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r>
      <w:tr w:rsidR="00B94F1A" w:rsidRPr="00BF1340" w14:paraId="2F48FBA4" w14:textId="77777777" w:rsidTr="00817240">
        <w:tc>
          <w:tcPr>
            <w:tcW w:w="580" w:type="pct"/>
            <w:shd w:val="clear" w:color="auto" w:fill="auto"/>
          </w:tcPr>
          <w:p w14:paraId="33D216A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Burundi</w:t>
            </w:r>
          </w:p>
        </w:tc>
        <w:tc>
          <w:tcPr>
            <w:tcW w:w="676" w:type="pct"/>
            <w:gridSpan w:val="2"/>
            <w:shd w:val="clear" w:color="auto" w:fill="auto"/>
            <w:vAlign w:val="bottom"/>
          </w:tcPr>
          <w:p w14:paraId="1DBADA4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2454D40D"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-1.6</w:t>
            </w:r>
          </w:p>
        </w:tc>
        <w:tc>
          <w:tcPr>
            <w:tcW w:w="398" w:type="pct"/>
            <w:shd w:val="clear" w:color="auto" w:fill="auto"/>
            <w:vAlign w:val="bottom"/>
          </w:tcPr>
          <w:p w14:paraId="6557ACA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27.80</w:t>
            </w:r>
          </w:p>
        </w:tc>
        <w:tc>
          <w:tcPr>
            <w:tcW w:w="399" w:type="pct"/>
            <w:shd w:val="clear" w:color="auto" w:fill="auto"/>
            <w:vAlign w:val="bottom"/>
          </w:tcPr>
          <w:p w14:paraId="6F8813EE"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50.4</w:t>
            </w:r>
          </w:p>
        </w:tc>
        <w:tc>
          <w:tcPr>
            <w:tcW w:w="562" w:type="pct"/>
            <w:shd w:val="clear" w:color="auto" w:fill="auto"/>
            <w:vAlign w:val="bottom"/>
          </w:tcPr>
          <w:p w14:paraId="52717C4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metals</w:t>
            </w:r>
          </w:p>
        </w:tc>
        <w:tc>
          <w:tcPr>
            <w:tcW w:w="421" w:type="pct"/>
            <w:shd w:val="clear" w:color="auto" w:fill="auto"/>
            <w:vAlign w:val="bottom"/>
          </w:tcPr>
          <w:p w14:paraId="66BABD6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w:t>
            </w:r>
            <w:r w:rsidR="00393E66" w:rsidRPr="00BF1340">
              <w:rPr>
                <w:rFonts w:asciiTheme="minorHAnsi" w:hAnsiTheme="minorHAnsi" w:cstheme="minorHAnsi"/>
                <w:sz w:val="20"/>
                <w:szCs w:val="20"/>
              </w:rPr>
              <w:t>0</w:t>
            </w:r>
            <w:r w:rsidRPr="00BF1340">
              <w:rPr>
                <w:rFonts w:asciiTheme="minorHAnsi" w:hAnsiTheme="minorHAnsi" w:cstheme="minorHAnsi"/>
                <w:sz w:val="20"/>
                <w:szCs w:val="20"/>
              </w:rPr>
              <w:t>.57</w:t>
            </w:r>
          </w:p>
        </w:tc>
        <w:tc>
          <w:tcPr>
            <w:tcW w:w="422" w:type="pct"/>
            <w:shd w:val="clear" w:color="auto" w:fill="auto"/>
            <w:vAlign w:val="bottom"/>
          </w:tcPr>
          <w:p w14:paraId="25024A4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10</w:t>
            </w:r>
            <w:r w:rsidR="00393E66" w:rsidRPr="00BF1340">
              <w:rPr>
                <w:rFonts w:asciiTheme="minorHAnsi" w:hAnsiTheme="minorHAnsi" w:cstheme="minorHAnsi"/>
                <w:sz w:val="20"/>
                <w:szCs w:val="20"/>
              </w:rPr>
              <w:t>.0</w:t>
            </w:r>
          </w:p>
        </w:tc>
        <w:tc>
          <w:tcPr>
            <w:tcW w:w="353" w:type="pct"/>
            <w:shd w:val="clear" w:color="auto" w:fill="auto"/>
            <w:vAlign w:val="bottom"/>
          </w:tcPr>
          <w:p w14:paraId="63E76DE9"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18.1</w:t>
            </w:r>
          </w:p>
        </w:tc>
        <w:tc>
          <w:tcPr>
            <w:tcW w:w="282" w:type="pct"/>
            <w:shd w:val="clear" w:color="auto" w:fill="auto"/>
            <w:vAlign w:val="bottom"/>
          </w:tcPr>
          <w:p w14:paraId="40707CB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c>
          <w:tcPr>
            <w:tcW w:w="551" w:type="pct"/>
            <w:shd w:val="clear" w:color="auto" w:fill="auto"/>
            <w:vAlign w:val="bottom"/>
          </w:tcPr>
          <w:p w14:paraId="366DD9C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r>
      <w:tr w:rsidR="00B94F1A" w:rsidRPr="00BF1340" w14:paraId="453DE598" w14:textId="77777777" w:rsidTr="00817240">
        <w:tc>
          <w:tcPr>
            <w:tcW w:w="580" w:type="pct"/>
            <w:shd w:val="clear" w:color="auto" w:fill="auto"/>
          </w:tcPr>
          <w:p w14:paraId="1DEA939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Ethiopia</w:t>
            </w:r>
          </w:p>
        </w:tc>
        <w:tc>
          <w:tcPr>
            <w:tcW w:w="676" w:type="pct"/>
            <w:gridSpan w:val="2"/>
            <w:shd w:val="clear" w:color="auto" w:fill="auto"/>
            <w:vAlign w:val="bottom"/>
          </w:tcPr>
          <w:p w14:paraId="4B2C55C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7EE48CC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20.</w:t>
            </w:r>
            <w:r w:rsidR="00393E66" w:rsidRPr="00BF1340">
              <w:rPr>
                <w:rFonts w:asciiTheme="minorHAnsi" w:hAnsiTheme="minorHAnsi" w:cstheme="minorHAnsi"/>
                <w:sz w:val="20"/>
                <w:szCs w:val="20"/>
              </w:rPr>
              <w:t>1</w:t>
            </w:r>
          </w:p>
        </w:tc>
        <w:tc>
          <w:tcPr>
            <w:tcW w:w="398" w:type="pct"/>
            <w:shd w:val="clear" w:color="auto" w:fill="auto"/>
            <w:vAlign w:val="bottom"/>
          </w:tcPr>
          <w:p w14:paraId="20F9E9C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98.05</w:t>
            </w:r>
          </w:p>
        </w:tc>
        <w:tc>
          <w:tcPr>
            <w:tcW w:w="399" w:type="pct"/>
            <w:shd w:val="clear" w:color="auto" w:fill="auto"/>
            <w:vAlign w:val="bottom"/>
          </w:tcPr>
          <w:p w14:paraId="2E89C9A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177.8</w:t>
            </w:r>
          </w:p>
        </w:tc>
        <w:tc>
          <w:tcPr>
            <w:tcW w:w="562" w:type="pct"/>
            <w:shd w:val="clear" w:color="auto" w:fill="auto"/>
            <w:vAlign w:val="bottom"/>
          </w:tcPr>
          <w:p w14:paraId="770A40D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shd w:val="clear" w:color="auto" w:fill="auto"/>
            <w:vAlign w:val="bottom"/>
          </w:tcPr>
          <w:p w14:paraId="5F66804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32.9</w:t>
            </w:r>
          </w:p>
        </w:tc>
        <w:tc>
          <w:tcPr>
            <w:tcW w:w="422" w:type="pct"/>
            <w:shd w:val="clear" w:color="auto" w:fill="auto"/>
            <w:vAlign w:val="bottom"/>
          </w:tcPr>
          <w:p w14:paraId="7A52F2B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160.8</w:t>
            </w:r>
          </w:p>
        </w:tc>
        <w:tc>
          <w:tcPr>
            <w:tcW w:w="353" w:type="pct"/>
            <w:shd w:val="clear" w:color="auto" w:fill="auto"/>
            <w:vAlign w:val="bottom"/>
          </w:tcPr>
          <w:p w14:paraId="5B370E2E"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291.6</w:t>
            </w:r>
          </w:p>
        </w:tc>
        <w:tc>
          <w:tcPr>
            <w:tcW w:w="282" w:type="pct"/>
            <w:shd w:val="clear" w:color="auto" w:fill="auto"/>
            <w:vAlign w:val="bottom"/>
          </w:tcPr>
          <w:p w14:paraId="6A27EC8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8</w:t>
            </w:r>
          </w:p>
        </w:tc>
        <w:tc>
          <w:tcPr>
            <w:tcW w:w="551" w:type="pct"/>
            <w:shd w:val="clear" w:color="auto" w:fill="auto"/>
            <w:vAlign w:val="bottom"/>
          </w:tcPr>
          <w:p w14:paraId="18A9CD8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r>
      <w:tr w:rsidR="00B94F1A" w:rsidRPr="00BF1340" w14:paraId="08268B6C" w14:textId="77777777" w:rsidTr="00817240">
        <w:tc>
          <w:tcPr>
            <w:tcW w:w="580" w:type="pct"/>
            <w:shd w:val="clear" w:color="auto" w:fill="auto"/>
          </w:tcPr>
          <w:p w14:paraId="729DCB3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Malawi</w:t>
            </w:r>
          </w:p>
        </w:tc>
        <w:tc>
          <w:tcPr>
            <w:tcW w:w="676" w:type="pct"/>
            <w:gridSpan w:val="2"/>
            <w:shd w:val="clear" w:color="auto" w:fill="auto"/>
            <w:vAlign w:val="bottom"/>
          </w:tcPr>
          <w:p w14:paraId="2A8AC6E4"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28FCE9AD"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6.4</w:t>
            </w:r>
          </w:p>
        </w:tc>
        <w:tc>
          <w:tcPr>
            <w:tcW w:w="398" w:type="pct"/>
            <w:shd w:val="clear" w:color="auto" w:fill="auto"/>
            <w:vAlign w:val="bottom"/>
          </w:tcPr>
          <w:p w14:paraId="099D6B5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26.63</w:t>
            </w:r>
          </w:p>
        </w:tc>
        <w:tc>
          <w:tcPr>
            <w:tcW w:w="399" w:type="pct"/>
            <w:shd w:val="clear" w:color="auto" w:fill="auto"/>
            <w:vAlign w:val="bottom"/>
          </w:tcPr>
          <w:p w14:paraId="772AB141"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48.3</w:t>
            </w:r>
          </w:p>
        </w:tc>
        <w:tc>
          <w:tcPr>
            <w:tcW w:w="562" w:type="pct"/>
            <w:shd w:val="clear" w:color="auto" w:fill="auto"/>
            <w:vAlign w:val="bottom"/>
          </w:tcPr>
          <w:p w14:paraId="3BDEF89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chemicals</w:t>
            </w:r>
          </w:p>
        </w:tc>
        <w:tc>
          <w:tcPr>
            <w:tcW w:w="421" w:type="pct"/>
            <w:shd w:val="clear" w:color="auto" w:fill="auto"/>
            <w:vAlign w:val="bottom"/>
          </w:tcPr>
          <w:p w14:paraId="73F44505"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6.1</w:t>
            </w:r>
          </w:p>
        </w:tc>
        <w:tc>
          <w:tcPr>
            <w:tcW w:w="422" w:type="pct"/>
            <w:shd w:val="clear" w:color="auto" w:fill="auto"/>
            <w:vAlign w:val="bottom"/>
          </w:tcPr>
          <w:p w14:paraId="7D08D489"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25.6</w:t>
            </w:r>
          </w:p>
        </w:tc>
        <w:tc>
          <w:tcPr>
            <w:tcW w:w="353" w:type="pct"/>
            <w:shd w:val="clear" w:color="auto" w:fill="auto"/>
            <w:vAlign w:val="bottom"/>
          </w:tcPr>
          <w:p w14:paraId="56CE988F"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46.4</w:t>
            </w:r>
          </w:p>
        </w:tc>
        <w:tc>
          <w:tcPr>
            <w:tcW w:w="282" w:type="pct"/>
            <w:shd w:val="clear" w:color="auto" w:fill="auto"/>
            <w:vAlign w:val="bottom"/>
          </w:tcPr>
          <w:p w14:paraId="4EBF8B7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w:t>
            </w:r>
          </w:p>
        </w:tc>
        <w:tc>
          <w:tcPr>
            <w:tcW w:w="551" w:type="pct"/>
            <w:shd w:val="clear" w:color="auto" w:fill="auto"/>
            <w:vAlign w:val="bottom"/>
          </w:tcPr>
          <w:p w14:paraId="2556A5E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6</w:t>
            </w:r>
          </w:p>
        </w:tc>
      </w:tr>
      <w:tr w:rsidR="00B94F1A" w:rsidRPr="00BF1340" w14:paraId="5BEE89B5" w14:textId="77777777" w:rsidTr="00817240">
        <w:tc>
          <w:tcPr>
            <w:tcW w:w="580" w:type="pct"/>
            <w:shd w:val="clear" w:color="auto" w:fill="auto"/>
          </w:tcPr>
          <w:p w14:paraId="49BF6A2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Mauritius</w:t>
            </w:r>
          </w:p>
        </w:tc>
        <w:tc>
          <w:tcPr>
            <w:tcW w:w="676" w:type="pct"/>
            <w:gridSpan w:val="2"/>
            <w:shd w:val="clear" w:color="auto" w:fill="auto"/>
            <w:vAlign w:val="bottom"/>
          </w:tcPr>
          <w:p w14:paraId="4F59262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textiles/app</w:t>
            </w:r>
          </w:p>
        </w:tc>
        <w:tc>
          <w:tcPr>
            <w:tcW w:w="356" w:type="pct"/>
            <w:shd w:val="clear" w:color="auto" w:fill="auto"/>
          </w:tcPr>
          <w:p w14:paraId="2A1A606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14.2</w:t>
            </w:r>
          </w:p>
        </w:tc>
        <w:tc>
          <w:tcPr>
            <w:tcW w:w="398" w:type="pct"/>
            <w:shd w:val="clear" w:color="auto" w:fill="auto"/>
            <w:vAlign w:val="bottom"/>
          </w:tcPr>
          <w:p w14:paraId="50F1BB1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18.48</w:t>
            </w:r>
          </w:p>
        </w:tc>
        <w:tc>
          <w:tcPr>
            <w:tcW w:w="399" w:type="pct"/>
            <w:shd w:val="clear" w:color="auto" w:fill="auto"/>
            <w:vAlign w:val="bottom"/>
          </w:tcPr>
          <w:p w14:paraId="64A25EFA"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33.5</w:t>
            </w:r>
          </w:p>
        </w:tc>
        <w:tc>
          <w:tcPr>
            <w:tcW w:w="562" w:type="pct"/>
            <w:shd w:val="clear" w:color="auto" w:fill="auto"/>
            <w:vAlign w:val="bottom"/>
          </w:tcPr>
          <w:p w14:paraId="44229AED"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421" w:type="pct"/>
            <w:shd w:val="clear" w:color="auto" w:fill="auto"/>
            <w:vAlign w:val="bottom"/>
          </w:tcPr>
          <w:p w14:paraId="7E9E4478"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23.5</w:t>
            </w:r>
          </w:p>
        </w:tc>
        <w:tc>
          <w:tcPr>
            <w:tcW w:w="422" w:type="pct"/>
            <w:shd w:val="clear" w:color="auto" w:fill="auto"/>
            <w:vAlign w:val="bottom"/>
          </w:tcPr>
          <w:p w14:paraId="18B5AFA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w:t>
            </w:r>
            <w:r w:rsidR="00393E66" w:rsidRPr="00BF1340">
              <w:rPr>
                <w:rFonts w:asciiTheme="minorHAnsi" w:hAnsiTheme="minorHAnsi" w:cstheme="minorHAnsi"/>
                <w:sz w:val="20"/>
                <w:szCs w:val="20"/>
              </w:rPr>
              <w:t>0.5</w:t>
            </w:r>
          </w:p>
        </w:tc>
        <w:tc>
          <w:tcPr>
            <w:tcW w:w="353" w:type="pct"/>
            <w:shd w:val="clear" w:color="auto" w:fill="auto"/>
            <w:vAlign w:val="bottom"/>
          </w:tcPr>
          <w:p w14:paraId="0D20371E"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55.2</w:t>
            </w:r>
          </w:p>
        </w:tc>
        <w:tc>
          <w:tcPr>
            <w:tcW w:w="282" w:type="pct"/>
            <w:shd w:val="clear" w:color="auto" w:fill="auto"/>
            <w:vAlign w:val="bottom"/>
          </w:tcPr>
          <w:p w14:paraId="27EF3C2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1</w:t>
            </w:r>
          </w:p>
        </w:tc>
        <w:tc>
          <w:tcPr>
            <w:tcW w:w="551" w:type="pct"/>
            <w:shd w:val="clear" w:color="auto" w:fill="auto"/>
            <w:vAlign w:val="bottom"/>
          </w:tcPr>
          <w:p w14:paraId="1FE2D412"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2</w:t>
            </w:r>
          </w:p>
        </w:tc>
      </w:tr>
      <w:tr w:rsidR="00B94F1A" w:rsidRPr="00BF1340" w14:paraId="2C729003" w14:textId="77777777" w:rsidTr="00817240">
        <w:tc>
          <w:tcPr>
            <w:tcW w:w="580" w:type="pct"/>
            <w:shd w:val="clear" w:color="auto" w:fill="auto"/>
          </w:tcPr>
          <w:p w14:paraId="6925D66B"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South Africa</w:t>
            </w:r>
          </w:p>
        </w:tc>
        <w:tc>
          <w:tcPr>
            <w:tcW w:w="676" w:type="pct"/>
            <w:gridSpan w:val="2"/>
            <w:shd w:val="clear" w:color="auto" w:fill="auto"/>
            <w:vAlign w:val="bottom"/>
          </w:tcPr>
          <w:p w14:paraId="6B9FB5C3"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shd w:val="clear" w:color="auto" w:fill="auto"/>
          </w:tcPr>
          <w:p w14:paraId="690CF372"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34.7</w:t>
            </w:r>
          </w:p>
        </w:tc>
        <w:tc>
          <w:tcPr>
            <w:tcW w:w="398" w:type="pct"/>
            <w:shd w:val="clear" w:color="auto" w:fill="auto"/>
            <w:vAlign w:val="bottom"/>
          </w:tcPr>
          <w:p w14:paraId="30E45520"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55.19</w:t>
            </w:r>
          </w:p>
        </w:tc>
        <w:tc>
          <w:tcPr>
            <w:tcW w:w="399" w:type="pct"/>
            <w:shd w:val="clear" w:color="auto" w:fill="auto"/>
            <w:vAlign w:val="bottom"/>
          </w:tcPr>
          <w:p w14:paraId="42A27801"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100.1</w:t>
            </w:r>
          </w:p>
        </w:tc>
        <w:tc>
          <w:tcPr>
            <w:tcW w:w="562" w:type="pct"/>
            <w:shd w:val="clear" w:color="auto" w:fill="auto"/>
            <w:vAlign w:val="bottom"/>
          </w:tcPr>
          <w:p w14:paraId="6DE28DDC"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coke/oil</w:t>
            </w:r>
          </w:p>
        </w:tc>
        <w:tc>
          <w:tcPr>
            <w:tcW w:w="421" w:type="pct"/>
            <w:shd w:val="clear" w:color="auto" w:fill="auto"/>
            <w:vAlign w:val="bottom"/>
          </w:tcPr>
          <w:p w14:paraId="27692669"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10.6</w:t>
            </w:r>
          </w:p>
        </w:tc>
        <w:tc>
          <w:tcPr>
            <w:tcW w:w="422" w:type="pct"/>
            <w:shd w:val="clear" w:color="auto" w:fill="auto"/>
            <w:vAlign w:val="bottom"/>
          </w:tcPr>
          <w:p w14:paraId="07F35CCB"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16.9</w:t>
            </w:r>
          </w:p>
        </w:tc>
        <w:tc>
          <w:tcPr>
            <w:tcW w:w="353" w:type="pct"/>
            <w:shd w:val="clear" w:color="auto" w:fill="auto"/>
            <w:vAlign w:val="bottom"/>
          </w:tcPr>
          <w:p w14:paraId="1E3B98A3"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30.7</w:t>
            </w:r>
          </w:p>
        </w:tc>
        <w:tc>
          <w:tcPr>
            <w:tcW w:w="282" w:type="pct"/>
            <w:shd w:val="clear" w:color="auto" w:fill="auto"/>
            <w:vAlign w:val="bottom"/>
          </w:tcPr>
          <w:p w14:paraId="6F5B643A"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7</w:t>
            </w:r>
          </w:p>
        </w:tc>
        <w:tc>
          <w:tcPr>
            <w:tcW w:w="551" w:type="pct"/>
            <w:shd w:val="clear" w:color="auto" w:fill="auto"/>
            <w:vAlign w:val="bottom"/>
          </w:tcPr>
          <w:p w14:paraId="2020FC0F"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3</w:t>
            </w:r>
          </w:p>
        </w:tc>
      </w:tr>
      <w:tr w:rsidR="00B94F1A" w:rsidRPr="00BF1340" w14:paraId="44E95009" w14:textId="77777777" w:rsidTr="00817240">
        <w:tc>
          <w:tcPr>
            <w:tcW w:w="580" w:type="pct"/>
            <w:tcBorders>
              <w:bottom w:val="single" w:sz="4" w:space="0" w:color="auto"/>
            </w:tcBorders>
            <w:shd w:val="clear" w:color="auto" w:fill="auto"/>
          </w:tcPr>
          <w:p w14:paraId="420B7E4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Tanzania</w:t>
            </w:r>
          </w:p>
        </w:tc>
        <w:tc>
          <w:tcPr>
            <w:tcW w:w="676" w:type="pct"/>
            <w:gridSpan w:val="2"/>
            <w:tcBorders>
              <w:bottom w:val="single" w:sz="4" w:space="0" w:color="auto"/>
            </w:tcBorders>
            <w:shd w:val="clear" w:color="auto" w:fill="auto"/>
            <w:vAlign w:val="bottom"/>
          </w:tcPr>
          <w:p w14:paraId="4DF87D07"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food/bev</w:t>
            </w:r>
          </w:p>
        </w:tc>
        <w:tc>
          <w:tcPr>
            <w:tcW w:w="356" w:type="pct"/>
            <w:tcBorders>
              <w:bottom w:val="single" w:sz="4" w:space="0" w:color="auto"/>
            </w:tcBorders>
            <w:shd w:val="clear" w:color="auto" w:fill="auto"/>
          </w:tcPr>
          <w:p w14:paraId="50E14C7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14.1</w:t>
            </w:r>
          </w:p>
        </w:tc>
        <w:tc>
          <w:tcPr>
            <w:tcW w:w="398" w:type="pct"/>
            <w:tcBorders>
              <w:bottom w:val="single" w:sz="4" w:space="0" w:color="auto"/>
            </w:tcBorders>
            <w:shd w:val="clear" w:color="auto" w:fill="auto"/>
            <w:vAlign w:val="bottom"/>
          </w:tcPr>
          <w:p w14:paraId="6E3F195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41.56</w:t>
            </w:r>
          </w:p>
        </w:tc>
        <w:tc>
          <w:tcPr>
            <w:tcW w:w="399" w:type="pct"/>
            <w:tcBorders>
              <w:bottom w:val="single" w:sz="4" w:space="0" w:color="auto"/>
            </w:tcBorders>
            <w:shd w:val="clear" w:color="auto" w:fill="auto"/>
            <w:vAlign w:val="bottom"/>
          </w:tcPr>
          <w:p w14:paraId="05BB1916"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75.3</w:t>
            </w:r>
          </w:p>
        </w:tc>
        <w:tc>
          <w:tcPr>
            <w:tcW w:w="562" w:type="pct"/>
            <w:tcBorders>
              <w:bottom w:val="single" w:sz="4" w:space="0" w:color="auto"/>
            </w:tcBorders>
            <w:shd w:val="clear" w:color="auto" w:fill="auto"/>
            <w:vAlign w:val="bottom"/>
          </w:tcPr>
          <w:p w14:paraId="75BE20C1"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minerals</w:t>
            </w:r>
          </w:p>
        </w:tc>
        <w:tc>
          <w:tcPr>
            <w:tcW w:w="421" w:type="pct"/>
            <w:tcBorders>
              <w:bottom w:val="single" w:sz="4" w:space="0" w:color="auto"/>
            </w:tcBorders>
            <w:shd w:val="clear" w:color="auto" w:fill="auto"/>
            <w:vAlign w:val="bottom"/>
          </w:tcPr>
          <w:p w14:paraId="19FB7C0F"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18.0</w:t>
            </w:r>
          </w:p>
        </w:tc>
        <w:tc>
          <w:tcPr>
            <w:tcW w:w="422" w:type="pct"/>
            <w:tcBorders>
              <w:bottom w:val="single" w:sz="4" w:space="0" w:color="auto"/>
            </w:tcBorders>
            <w:shd w:val="clear" w:color="auto" w:fill="auto"/>
            <w:vAlign w:val="bottom"/>
          </w:tcPr>
          <w:p w14:paraId="5FD30D4F"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52.8</w:t>
            </w:r>
          </w:p>
        </w:tc>
        <w:tc>
          <w:tcPr>
            <w:tcW w:w="353" w:type="pct"/>
            <w:tcBorders>
              <w:bottom w:val="single" w:sz="4" w:space="0" w:color="auto"/>
            </w:tcBorders>
            <w:shd w:val="clear" w:color="auto" w:fill="auto"/>
            <w:vAlign w:val="bottom"/>
          </w:tcPr>
          <w:p w14:paraId="3EB282F0" w14:textId="77777777" w:rsidR="007D3F4B" w:rsidRPr="00BF1340" w:rsidRDefault="00393E66" w:rsidP="003163C6">
            <w:pPr>
              <w:rPr>
                <w:rFonts w:asciiTheme="minorHAnsi" w:hAnsiTheme="minorHAnsi" w:cstheme="minorHAnsi"/>
                <w:sz w:val="20"/>
                <w:szCs w:val="20"/>
              </w:rPr>
            </w:pPr>
            <w:r w:rsidRPr="00BF1340">
              <w:rPr>
                <w:rFonts w:asciiTheme="minorHAnsi" w:hAnsiTheme="minorHAnsi" w:cstheme="minorHAnsi"/>
                <w:sz w:val="20"/>
                <w:szCs w:val="20"/>
              </w:rPr>
              <w:t>95.8</w:t>
            </w:r>
          </w:p>
        </w:tc>
        <w:tc>
          <w:tcPr>
            <w:tcW w:w="282" w:type="pct"/>
            <w:tcBorders>
              <w:bottom w:val="single" w:sz="4" w:space="0" w:color="auto"/>
            </w:tcBorders>
            <w:shd w:val="clear" w:color="auto" w:fill="auto"/>
            <w:vAlign w:val="bottom"/>
          </w:tcPr>
          <w:p w14:paraId="615618F6"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p>
        </w:tc>
        <w:tc>
          <w:tcPr>
            <w:tcW w:w="551" w:type="pct"/>
            <w:tcBorders>
              <w:bottom w:val="single" w:sz="4" w:space="0" w:color="auto"/>
            </w:tcBorders>
            <w:shd w:val="clear" w:color="auto" w:fill="auto"/>
            <w:vAlign w:val="bottom"/>
          </w:tcPr>
          <w:p w14:paraId="3F088529" w14:textId="77777777" w:rsidR="007D3F4B" w:rsidRPr="00BF1340" w:rsidRDefault="007D3F4B" w:rsidP="003163C6">
            <w:pPr>
              <w:rPr>
                <w:rFonts w:asciiTheme="minorHAnsi" w:hAnsiTheme="minorHAnsi" w:cstheme="minorHAnsi"/>
                <w:sz w:val="20"/>
                <w:szCs w:val="20"/>
              </w:rPr>
            </w:pPr>
            <w:r w:rsidRPr="00BF1340">
              <w:rPr>
                <w:rFonts w:asciiTheme="minorHAnsi" w:hAnsiTheme="minorHAnsi" w:cstheme="minorHAnsi"/>
                <w:sz w:val="20"/>
                <w:szCs w:val="20"/>
              </w:rPr>
              <w:t>5</w:t>
            </w:r>
          </w:p>
        </w:tc>
      </w:tr>
    </w:tbl>
    <w:p w14:paraId="45B03074" w14:textId="77777777" w:rsidR="007D3F4B" w:rsidRPr="00BF1340" w:rsidRDefault="007D3F4B" w:rsidP="003163C6">
      <w:pPr>
        <w:rPr>
          <w:rFonts w:asciiTheme="minorHAnsi" w:hAnsiTheme="minorHAnsi" w:cstheme="minorHAnsi"/>
          <w:sz w:val="20"/>
        </w:rPr>
      </w:pPr>
      <w:r w:rsidRPr="00B667C4">
        <w:rPr>
          <w:rFonts w:asciiTheme="minorHAnsi" w:hAnsiTheme="minorHAnsi" w:cstheme="minorHAnsi"/>
          <w:b/>
          <w:sz w:val="22"/>
        </w:rPr>
        <w:t>Notes</w:t>
      </w:r>
      <w:r w:rsidRPr="00B667C4">
        <w:rPr>
          <w:rFonts w:asciiTheme="minorHAnsi" w:hAnsiTheme="minorHAnsi" w:cstheme="minorHAnsi"/>
          <w:sz w:val="22"/>
        </w:rPr>
        <w:t xml:space="preserve">: Source of governance variables: World Bank Governance Indicators. Services trade policies from </w:t>
      </w:r>
      <w:r w:rsidRPr="00BF1340">
        <w:rPr>
          <w:rFonts w:asciiTheme="minorHAnsi" w:hAnsiTheme="minorHAnsi" w:cstheme="minorHAnsi"/>
          <w:sz w:val="20"/>
        </w:rPr>
        <w:t xml:space="preserve">the World Bank Services Trade Restrictiveness Database. </w:t>
      </w:r>
      <w:r w:rsidR="007B1919" w:rsidRPr="00BF1340">
        <w:rPr>
          <w:rFonts w:asciiTheme="minorHAnsi" w:hAnsiTheme="minorHAnsi" w:cstheme="minorHAnsi"/>
          <w:sz w:val="20"/>
        </w:rPr>
        <w:t>Labour</w:t>
      </w:r>
      <w:r w:rsidRPr="00BF1340">
        <w:rPr>
          <w:rFonts w:asciiTheme="minorHAnsi" w:hAnsiTheme="minorHAnsi" w:cstheme="minorHAnsi"/>
          <w:sz w:val="20"/>
        </w:rPr>
        <w:t xml:space="preserve"> productivity (output per worker) from UNIDO industrial statistics database. Sectors based on ISIC 2-digit classification (Food/Bev: 15+16; Textiles</w:t>
      </w:r>
      <w:r w:rsidR="00881243" w:rsidRPr="00BF1340">
        <w:rPr>
          <w:rFonts w:asciiTheme="minorHAnsi" w:hAnsiTheme="minorHAnsi" w:cstheme="minorHAnsi"/>
          <w:sz w:val="20"/>
        </w:rPr>
        <w:t>/</w:t>
      </w:r>
      <w:r w:rsidRPr="00BF1340">
        <w:rPr>
          <w:rFonts w:asciiTheme="minorHAnsi" w:hAnsiTheme="minorHAnsi" w:cstheme="minorHAnsi"/>
          <w:sz w:val="20"/>
        </w:rPr>
        <w:t>Apparel: 17+18+19; Furniture/n</w:t>
      </w:r>
      <w:r w:rsidR="007B1919" w:rsidRPr="00BF1340">
        <w:rPr>
          <w:rFonts w:asciiTheme="minorHAnsi" w:hAnsiTheme="minorHAnsi" w:cstheme="minorHAnsi"/>
          <w:sz w:val="20"/>
        </w:rPr>
        <w:t>ec</w:t>
      </w:r>
      <w:r w:rsidRPr="00BF1340">
        <w:rPr>
          <w:rFonts w:asciiTheme="minorHAnsi" w:hAnsiTheme="minorHAnsi" w:cstheme="minorHAnsi"/>
          <w:sz w:val="20"/>
        </w:rPr>
        <w:t xml:space="preserve">: 36+37; Metals: 27; Mineral Products: 26; Chemicals: 24; Coke/Oil: 23). </w:t>
      </w:r>
      <w:r w:rsidR="00881243" w:rsidRPr="00BF1340">
        <w:rPr>
          <w:rFonts w:asciiTheme="minorHAnsi" w:hAnsiTheme="minorHAnsi" w:cstheme="minorHAnsi"/>
          <w:sz w:val="20"/>
        </w:rPr>
        <w:t>“</w:t>
      </w:r>
      <w:r w:rsidRPr="00BF1340">
        <w:rPr>
          <w:rFonts w:asciiTheme="minorHAnsi" w:hAnsiTheme="minorHAnsi" w:cstheme="minorHAnsi"/>
          <w:sz w:val="20"/>
        </w:rPr>
        <w:t>Current institutions</w:t>
      </w:r>
      <w:r w:rsidR="00881243" w:rsidRPr="00BF1340">
        <w:rPr>
          <w:rFonts w:asciiTheme="minorHAnsi" w:hAnsiTheme="minorHAnsi" w:cstheme="minorHAnsi"/>
          <w:sz w:val="20"/>
        </w:rPr>
        <w:t>”</w:t>
      </w:r>
      <w:r w:rsidRPr="00BF1340">
        <w:rPr>
          <w:rFonts w:asciiTheme="minorHAnsi" w:hAnsiTheme="minorHAnsi" w:cstheme="minorHAnsi"/>
          <w:sz w:val="20"/>
        </w:rPr>
        <w:t xml:space="preserve"> estimates are statistically different from zero only for Botswana, Mauritius and South Africa.</w:t>
      </w:r>
    </w:p>
    <w:p w14:paraId="6293CB43" w14:textId="3D0CEDB6" w:rsidR="009E4595" w:rsidRPr="00BF1340" w:rsidRDefault="007D3F4B" w:rsidP="003163C6">
      <w:pPr>
        <w:spacing w:after="240"/>
        <w:rPr>
          <w:rFonts w:asciiTheme="minorHAnsi" w:hAnsiTheme="minorHAnsi" w:cstheme="minorHAnsi"/>
          <w:sz w:val="20"/>
        </w:rPr>
      </w:pPr>
      <w:r w:rsidRPr="00BF1340">
        <w:rPr>
          <w:rFonts w:asciiTheme="minorHAnsi" w:hAnsiTheme="minorHAnsi" w:cstheme="minorHAnsi"/>
          <w:b/>
          <w:sz w:val="20"/>
        </w:rPr>
        <w:t>Source</w:t>
      </w:r>
      <w:r w:rsidR="006D530A" w:rsidRPr="00BF1340">
        <w:rPr>
          <w:rFonts w:asciiTheme="minorHAnsi" w:hAnsiTheme="minorHAnsi" w:cstheme="minorHAnsi"/>
          <w:sz w:val="20"/>
        </w:rPr>
        <w:t xml:space="preserve">: </w:t>
      </w:r>
      <w:r w:rsidR="008F4B6D" w:rsidRPr="00BF1340">
        <w:rPr>
          <w:rFonts w:asciiTheme="minorHAnsi" w:hAnsiTheme="minorHAnsi" w:cstheme="minorHAnsi"/>
          <w:sz w:val="20"/>
        </w:rPr>
        <w:t>Fiorini and Hoekman (2016), b</w:t>
      </w:r>
      <w:r w:rsidR="00881243" w:rsidRPr="00BF1340">
        <w:rPr>
          <w:rFonts w:asciiTheme="minorHAnsi" w:hAnsiTheme="minorHAnsi" w:cstheme="minorHAnsi"/>
          <w:sz w:val="20"/>
        </w:rPr>
        <w:t xml:space="preserve">ased on </w:t>
      </w:r>
      <w:r w:rsidR="008F4B6D" w:rsidRPr="00BF1340">
        <w:rPr>
          <w:rFonts w:asciiTheme="minorHAnsi" w:hAnsiTheme="minorHAnsi" w:cstheme="minorHAnsi"/>
          <w:sz w:val="20"/>
        </w:rPr>
        <w:t xml:space="preserve">the analysis of </w:t>
      </w:r>
      <w:r w:rsidR="007B1919" w:rsidRPr="00BF1340">
        <w:rPr>
          <w:rFonts w:asciiTheme="minorHAnsi" w:hAnsiTheme="minorHAnsi" w:cstheme="minorHAnsi"/>
          <w:sz w:val="20"/>
        </w:rPr>
        <w:t>B</w:t>
      </w:r>
      <w:r w:rsidRPr="00BF1340">
        <w:rPr>
          <w:rFonts w:asciiTheme="minorHAnsi" w:hAnsiTheme="minorHAnsi" w:cstheme="minorHAnsi"/>
          <w:sz w:val="20"/>
        </w:rPr>
        <w:t xml:space="preserve">everelli, Fiorini </w:t>
      </w:r>
      <w:r w:rsidR="008F4B6D" w:rsidRPr="00BF1340">
        <w:rPr>
          <w:rFonts w:asciiTheme="minorHAnsi" w:hAnsiTheme="minorHAnsi" w:cstheme="minorHAnsi"/>
          <w:sz w:val="20"/>
        </w:rPr>
        <w:t xml:space="preserve">and </w:t>
      </w:r>
      <w:r w:rsidRPr="00BF1340">
        <w:rPr>
          <w:rFonts w:asciiTheme="minorHAnsi" w:hAnsiTheme="minorHAnsi" w:cstheme="minorHAnsi"/>
          <w:sz w:val="20"/>
        </w:rPr>
        <w:t>Hoekman</w:t>
      </w:r>
      <w:r w:rsidR="007B1919" w:rsidRPr="00BF1340">
        <w:rPr>
          <w:rFonts w:asciiTheme="minorHAnsi" w:hAnsiTheme="minorHAnsi" w:cstheme="minorHAnsi"/>
          <w:sz w:val="20"/>
        </w:rPr>
        <w:t xml:space="preserve"> (201</w:t>
      </w:r>
      <w:r w:rsidR="00BE7886" w:rsidRPr="00BF1340">
        <w:rPr>
          <w:rFonts w:asciiTheme="minorHAnsi" w:hAnsiTheme="minorHAnsi" w:cstheme="minorHAnsi"/>
          <w:sz w:val="20"/>
        </w:rPr>
        <w:t>6</w:t>
      </w:r>
      <w:r w:rsidR="007B1919" w:rsidRPr="00BF1340">
        <w:rPr>
          <w:rFonts w:asciiTheme="minorHAnsi" w:hAnsiTheme="minorHAnsi" w:cstheme="minorHAnsi"/>
          <w:sz w:val="20"/>
        </w:rPr>
        <w:t>)</w:t>
      </w:r>
      <w:r w:rsidRPr="00BF1340">
        <w:rPr>
          <w:rFonts w:asciiTheme="minorHAnsi" w:hAnsiTheme="minorHAnsi" w:cstheme="minorHAnsi"/>
          <w:sz w:val="20"/>
        </w:rPr>
        <w:t>.</w:t>
      </w:r>
    </w:p>
    <w:p w14:paraId="00E51561" w14:textId="1BBB9F3E" w:rsidR="004C53A6" w:rsidRPr="00B667C4" w:rsidRDefault="004B7284" w:rsidP="003163C6">
      <w:pPr>
        <w:pStyle w:val="ListParagraph"/>
        <w:numPr>
          <w:ilvl w:val="0"/>
          <w:numId w:val="17"/>
        </w:numPr>
        <w:spacing w:before="240" w:after="120" w:line="276" w:lineRule="auto"/>
        <w:rPr>
          <w:rFonts w:asciiTheme="minorHAnsi" w:hAnsiTheme="minorHAnsi" w:cstheme="minorHAnsi"/>
          <w:b/>
          <w:sz w:val="22"/>
        </w:rPr>
      </w:pPr>
      <w:r w:rsidRPr="00B667C4">
        <w:rPr>
          <w:rFonts w:asciiTheme="minorHAnsi" w:hAnsiTheme="minorHAnsi" w:cstheme="minorHAnsi"/>
          <w:b/>
          <w:sz w:val="22"/>
        </w:rPr>
        <w:t xml:space="preserve">Some implications for </w:t>
      </w:r>
      <w:r w:rsidR="006A1DA4" w:rsidRPr="00B667C4">
        <w:rPr>
          <w:rFonts w:asciiTheme="minorHAnsi" w:hAnsiTheme="minorHAnsi" w:cstheme="minorHAnsi"/>
          <w:b/>
          <w:sz w:val="22"/>
        </w:rPr>
        <w:t xml:space="preserve">trade </w:t>
      </w:r>
      <w:r w:rsidRPr="00B667C4">
        <w:rPr>
          <w:rFonts w:asciiTheme="minorHAnsi" w:hAnsiTheme="minorHAnsi" w:cstheme="minorHAnsi"/>
          <w:b/>
          <w:sz w:val="22"/>
        </w:rPr>
        <w:t>policy research</w:t>
      </w:r>
    </w:p>
    <w:p w14:paraId="55761BEC" w14:textId="6C848D87" w:rsidR="00DD1C95" w:rsidRPr="00B667C4" w:rsidRDefault="00A5022A" w:rsidP="00CC2A6D">
      <w:pPr>
        <w:spacing w:after="120" w:line="276" w:lineRule="auto"/>
        <w:rPr>
          <w:rFonts w:asciiTheme="minorHAnsi" w:hAnsiTheme="minorHAnsi" w:cstheme="minorHAnsi"/>
          <w:bCs/>
          <w:iCs/>
          <w:sz w:val="22"/>
        </w:rPr>
      </w:pPr>
      <w:r w:rsidRPr="00B667C4">
        <w:rPr>
          <w:rFonts w:asciiTheme="minorHAnsi" w:hAnsiTheme="minorHAnsi" w:cstheme="minorHAnsi"/>
          <w:bCs/>
          <w:iCs/>
          <w:sz w:val="22"/>
        </w:rPr>
        <w:t xml:space="preserve">The </w:t>
      </w:r>
      <w:r w:rsidR="004B7284" w:rsidRPr="00B667C4">
        <w:rPr>
          <w:rFonts w:asciiTheme="minorHAnsi" w:hAnsiTheme="minorHAnsi" w:cstheme="minorHAnsi"/>
          <w:bCs/>
          <w:iCs/>
          <w:sz w:val="22"/>
        </w:rPr>
        <w:t>challenge</w:t>
      </w:r>
      <w:r w:rsidRPr="00B667C4">
        <w:rPr>
          <w:rFonts w:asciiTheme="minorHAnsi" w:hAnsiTheme="minorHAnsi" w:cstheme="minorHAnsi"/>
          <w:bCs/>
          <w:iCs/>
          <w:sz w:val="22"/>
        </w:rPr>
        <w:t xml:space="preserve"> for research in support of African regional integration is </w:t>
      </w:r>
      <w:r w:rsidR="00311013" w:rsidRPr="00B667C4">
        <w:rPr>
          <w:rFonts w:asciiTheme="minorHAnsi" w:hAnsiTheme="minorHAnsi" w:cstheme="minorHAnsi"/>
          <w:bCs/>
          <w:iCs/>
          <w:sz w:val="22"/>
        </w:rPr>
        <w:t xml:space="preserve">to </w:t>
      </w:r>
      <w:r w:rsidR="004B7284" w:rsidRPr="00B667C4">
        <w:rPr>
          <w:rFonts w:asciiTheme="minorHAnsi" w:hAnsiTheme="minorHAnsi" w:cstheme="minorHAnsi"/>
          <w:bCs/>
          <w:iCs/>
          <w:sz w:val="22"/>
        </w:rPr>
        <w:t xml:space="preserve">help </w:t>
      </w:r>
      <w:r w:rsidRPr="00B667C4">
        <w:rPr>
          <w:rFonts w:asciiTheme="minorHAnsi" w:hAnsiTheme="minorHAnsi" w:cstheme="minorHAnsi"/>
          <w:bCs/>
          <w:iCs/>
          <w:sz w:val="22"/>
        </w:rPr>
        <w:t>“</w:t>
      </w:r>
      <w:r w:rsidR="004B7284" w:rsidRPr="00B667C4">
        <w:rPr>
          <w:rFonts w:asciiTheme="minorHAnsi" w:hAnsiTheme="minorHAnsi" w:cstheme="minorHAnsi"/>
          <w:bCs/>
          <w:iCs/>
          <w:sz w:val="22"/>
        </w:rPr>
        <w:t>move the needle</w:t>
      </w:r>
      <w:r w:rsidRPr="00B667C4">
        <w:rPr>
          <w:rFonts w:asciiTheme="minorHAnsi" w:hAnsiTheme="minorHAnsi" w:cstheme="minorHAnsi"/>
          <w:bCs/>
          <w:iCs/>
          <w:sz w:val="22"/>
        </w:rPr>
        <w:t>” in making progress</w:t>
      </w:r>
      <w:r w:rsidR="00DD1C95" w:rsidRPr="00B667C4">
        <w:rPr>
          <w:rFonts w:asciiTheme="minorHAnsi" w:hAnsiTheme="minorHAnsi" w:cstheme="minorHAnsi"/>
          <w:bCs/>
          <w:iCs/>
          <w:sz w:val="22"/>
        </w:rPr>
        <w:t xml:space="preserve"> in achieving the stated objectives of African leaders (</w:t>
      </w:r>
      <w:r w:rsidR="004C4CEA" w:rsidRPr="00B667C4">
        <w:rPr>
          <w:rFonts w:asciiTheme="minorHAnsi" w:hAnsiTheme="minorHAnsi" w:cstheme="minorHAnsi"/>
          <w:bCs/>
          <w:iCs/>
          <w:sz w:val="22"/>
        </w:rPr>
        <w:t>see</w:t>
      </w:r>
      <w:r w:rsidR="00DD1C95" w:rsidRPr="00B667C4">
        <w:rPr>
          <w:rFonts w:asciiTheme="minorHAnsi" w:hAnsiTheme="minorHAnsi" w:cstheme="minorHAnsi"/>
          <w:bCs/>
          <w:iCs/>
          <w:sz w:val="22"/>
        </w:rPr>
        <w:t xml:space="preserve"> Section 1)</w:t>
      </w:r>
      <w:r w:rsidR="004B7284" w:rsidRPr="00B667C4">
        <w:rPr>
          <w:rFonts w:asciiTheme="minorHAnsi" w:hAnsiTheme="minorHAnsi" w:cstheme="minorHAnsi"/>
          <w:bCs/>
          <w:iCs/>
          <w:sz w:val="22"/>
        </w:rPr>
        <w:t xml:space="preserve">. </w:t>
      </w:r>
      <w:r w:rsidR="009F3634" w:rsidRPr="00B667C4">
        <w:rPr>
          <w:rFonts w:asciiTheme="minorHAnsi" w:hAnsiTheme="minorHAnsi" w:cstheme="minorHAnsi"/>
          <w:bCs/>
          <w:iCs/>
          <w:sz w:val="22"/>
        </w:rPr>
        <w:t xml:space="preserve">In our view the two areas discussed above </w:t>
      </w:r>
      <w:r w:rsidR="00DD1C95" w:rsidRPr="00B667C4">
        <w:rPr>
          <w:rFonts w:asciiTheme="minorHAnsi" w:hAnsiTheme="minorHAnsi" w:cstheme="minorHAnsi"/>
          <w:bCs/>
          <w:iCs/>
          <w:sz w:val="22"/>
        </w:rPr>
        <w:t xml:space="preserve">are </w:t>
      </w:r>
      <w:r w:rsidR="009F3634" w:rsidRPr="00B667C4">
        <w:rPr>
          <w:rFonts w:asciiTheme="minorHAnsi" w:hAnsiTheme="minorHAnsi" w:cstheme="minorHAnsi"/>
          <w:bCs/>
          <w:iCs/>
          <w:sz w:val="22"/>
        </w:rPr>
        <w:t xml:space="preserve">particularly </w:t>
      </w:r>
      <w:r w:rsidR="00DD1C95" w:rsidRPr="00B667C4">
        <w:rPr>
          <w:rFonts w:asciiTheme="minorHAnsi" w:hAnsiTheme="minorHAnsi" w:cstheme="minorHAnsi"/>
          <w:bCs/>
          <w:iCs/>
          <w:sz w:val="22"/>
        </w:rPr>
        <w:t>important in this regard</w:t>
      </w:r>
      <w:r w:rsidR="009F3634" w:rsidRPr="00B667C4">
        <w:rPr>
          <w:rFonts w:asciiTheme="minorHAnsi" w:hAnsiTheme="minorHAnsi" w:cstheme="minorHAnsi"/>
          <w:bCs/>
          <w:iCs/>
          <w:sz w:val="22"/>
        </w:rPr>
        <w:t>: r</w:t>
      </w:r>
      <w:r w:rsidR="00DD1C95" w:rsidRPr="00B667C4">
        <w:rPr>
          <w:rFonts w:asciiTheme="minorHAnsi" w:hAnsiTheme="minorHAnsi" w:cstheme="minorHAnsi"/>
          <w:bCs/>
          <w:iCs/>
          <w:sz w:val="22"/>
        </w:rPr>
        <w:t xml:space="preserve">educing trade costs (trade facilitation broadly defined) and extending integration of markets to include services. A common feature of both policy areas is their complexity – many different government agencies and regulatory bodies implement policies that impact on trade costs for products. The same is true for </w:t>
      </w:r>
      <w:r w:rsidR="00311013" w:rsidRPr="00B667C4">
        <w:rPr>
          <w:rFonts w:asciiTheme="minorHAnsi" w:hAnsiTheme="minorHAnsi" w:cstheme="minorHAnsi"/>
          <w:bCs/>
          <w:iCs/>
          <w:sz w:val="22"/>
        </w:rPr>
        <w:t xml:space="preserve">policies that affect </w:t>
      </w:r>
      <w:r w:rsidR="00DD1C95" w:rsidRPr="00B667C4">
        <w:rPr>
          <w:rFonts w:asciiTheme="minorHAnsi" w:hAnsiTheme="minorHAnsi" w:cstheme="minorHAnsi"/>
          <w:bCs/>
          <w:iCs/>
          <w:sz w:val="22"/>
        </w:rPr>
        <w:t xml:space="preserve">the ability of services providers to offer their </w:t>
      </w:r>
      <w:r w:rsidR="00CC2A6D" w:rsidRPr="00B667C4">
        <w:rPr>
          <w:rFonts w:asciiTheme="minorHAnsi" w:hAnsiTheme="minorHAnsi" w:cstheme="minorHAnsi"/>
          <w:bCs/>
          <w:iCs/>
          <w:sz w:val="22"/>
        </w:rPr>
        <w:t>products</w:t>
      </w:r>
      <w:r w:rsidR="00DD1C95" w:rsidRPr="00B667C4">
        <w:rPr>
          <w:rFonts w:asciiTheme="minorHAnsi" w:hAnsiTheme="minorHAnsi" w:cstheme="minorHAnsi"/>
          <w:bCs/>
          <w:iCs/>
          <w:sz w:val="22"/>
        </w:rPr>
        <w:t xml:space="preserve"> in foreign markets</w:t>
      </w:r>
      <w:r w:rsidR="009F3634" w:rsidRPr="00B667C4">
        <w:rPr>
          <w:rFonts w:asciiTheme="minorHAnsi" w:hAnsiTheme="minorHAnsi" w:cstheme="minorHAnsi"/>
          <w:bCs/>
          <w:iCs/>
          <w:sz w:val="22"/>
        </w:rPr>
        <w:t xml:space="preserve">: </w:t>
      </w:r>
      <w:r w:rsidR="00DD1C95" w:rsidRPr="00B667C4">
        <w:rPr>
          <w:rFonts w:asciiTheme="minorHAnsi" w:hAnsiTheme="minorHAnsi" w:cstheme="minorHAnsi"/>
          <w:bCs/>
          <w:iCs/>
          <w:sz w:val="22"/>
        </w:rPr>
        <w:t>this is impacted by barriers “at the border” captured by the STRI</w:t>
      </w:r>
      <w:r w:rsidR="00311013" w:rsidRPr="00B667C4">
        <w:rPr>
          <w:rFonts w:asciiTheme="minorHAnsi" w:hAnsiTheme="minorHAnsi" w:cstheme="minorHAnsi"/>
          <w:bCs/>
          <w:iCs/>
          <w:sz w:val="22"/>
        </w:rPr>
        <w:t xml:space="preserve"> and</w:t>
      </w:r>
      <w:r w:rsidR="00DD1C95" w:rsidRPr="00B667C4">
        <w:rPr>
          <w:rFonts w:asciiTheme="minorHAnsi" w:hAnsiTheme="minorHAnsi" w:cstheme="minorHAnsi"/>
          <w:bCs/>
          <w:iCs/>
          <w:sz w:val="22"/>
        </w:rPr>
        <w:t xml:space="preserve"> by </w:t>
      </w:r>
      <w:r w:rsidR="009F3634" w:rsidRPr="00B667C4">
        <w:rPr>
          <w:rFonts w:asciiTheme="minorHAnsi" w:hAnsiTheme="minorHAnsi" w:cstheme="minorHAnsi"/>
          <w:bCs/>
          <w:iCs/>
          <w:sz w:val="22"/>
        </w:rPr>
        <w:t xml:space="preserve">a variety of </w:t>
      </w:r>
      <w:r w:rsidR="00311013" w:rsidRPr="00B667C4">
        <w:rPr>
          <w:rFonts w:asciiTheme="minorHAnsi" w:hAnsiTheme="minorHAnsi" w:cstheme="minorHAnsi"/>
          <w:bCs/>
          <w:iCs/>
          <w:sz w:val="22"/>
        </w:rPr>
        <w:t xml:space="preserve">domestic </w:t>
      </w:r>
      <w:r w:rsidR="00DD1C95" w:rsidRPr="00B667C4">
        <w:rPr>
          <w:rFonts w:asciiTheme="minorHAnsi" w:hAnsiTheme="minorHAnsi" w:cstheme="minorHAnsi"/>
          <w:bCs/>
          <w:iCs/>
          <w:sz w:val="22"/>
        </w:rPr>
        <w:t xml:space="preserve">regulatory regimes and </w:t>
      </w:r>
      <w:r w:rsidR="00311013" w:rsidRPr="00B667C4">
        <w:rPr>
          <w:rFonts w:asciiTheme="minorHAnsi" w:hAnsiTheme="minorHAnsi" w:cstheme="minorHAnsi"/>
          <w:bCs/>
          <w:iCs/>
          <w:sz w:val="22"/>
        </w:rPr>
        <w:t>institutions</w:t>
      </w:r>
      <w:r w:rsidR="00DD1C95" w:rsidRPr="00B667C4">
        <w:rPr>
          <w:rFonts w:asciiTheme="minorHAnsi" w:hAnsiTheme="minorHAnsi" w:cstheme="minorHAnsi"/>
          <w:bCs/>
          <w:iCs/>
          <w:sz w:val="22"/>
        </w:rPr>
        <w:t>.</w:t>
      </w:r>
      <w:r w:rsidR="001721DD" w:rsidRPr="00B667C4">
        <w:rPr>
          <w:rFonts w:asciiTheme="minorHAnsi" w:hAnsiTheme="minorHAnsi" w:cstheme="minorHAnsi"/>
          <w:bCs/>
          <w:iCs/>
          <w:sz w:val="22"/>
        </w:rPr>
        <w:t xml:space="preserve"> Traditional approaches towards analysing regional integration initiatives</w:t>
      </w:r>
      <w:r w:rsidR="00F27A75" w:rsidRPr="00B667C4">
        <w:rPr>
          <w:rFonts w:asciiTheme="minorHAnsi" w:hAnsiTheme="minorHAnsi" w:cstheme="minorHAnsi"/>
          <w:bCs/>
          <w:iCs/>
          <w:sz w:val="22"/>
        </w:rPr>
        <w:t xml:space="preserve"> that are centred on estimating the effects of reducing import tariffs or </w:t>
      </w:r>
      <w:r w:rsidR="00311013" w:rsidRPr="00B667C4">
        <w:rPr>
          <w:rFonts w:asciiTheme="minorHAnsi" w:hAnsiTheme="minorHAnsi" w:cstheme="minorHAnsi"/>
          <w:bCs/>
          <w:iCs/>
          <w:sz w:val="22"/>
        </w:rPr>
        <w:t xml:space="preserve">ex ante analysis of </w:t>
      </w:r>
      <w:r w:rsidR="00F27A75" w:rsidRPr="00B667C4">
        <w:rPr>
          <w:rFonts w:asciiTheme="minorHAnsi" w:hAnsiTheme="minorHAnsi" w:cstheme="minorHAnsi"/>
          <w:bCs/>
          <w:iCs/>
          <w:sz w:val="22"/>
        </w:rPr>
        <w:t xml:space="preserve">the potential implications of a free trade agreement </w:t>
      </w:r>
      <w:r w:rsidR="00311013" w:rsidRPr="00B667C4">
        <w:rPr>
          <w:rFonts w:asciiTheme="minorHAnsi" w:hAnsiTheme="minorHAnsi" w:cstheme="minorHAnsi"/>
          <w:bCs/>
          <w:iCs/>
          <w:sz w:val="22"/>
        </w:rPr>
        <w:t xml:space="preserve">or </w:t>
      </w:r>
      <w:r w:rsidR="00F27A75" w:rsidRPr="00B667C4">
        <w:rPr>
          <w:rFonts w:asciiTheme="minorHAnsi" w:hAnsiTheme="minorHAnsi" w:cstheme="minorHAnsi"/>
          <w:bCs/>
          <w:iCs/>
          <w:sz w:val="22"/>
        </w:rPr>
        <w:t>a customs union remain important, but research must go beyond this to be relevant to policymakers.</w:t>
      </w:r>
    </w:p>
    <w:p w14:paraId="3A0E9FBC" w14:textId="58797120" w:rsidR="007F2C71" w:rsidRPr="00B667C4" w:rsidRDefault="00311013"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bCs/>
          <w:iCs/>
          <w:sz w:val="22"/>
        </w:rPr>
        <w:t>C</w:t>
      </w:r>
      <w:r w:rsidR="004B7284" w:rsidRPr="00B667C4">
        <w:rPr>
          <w:rFonts w:asciiTheme="minorHAnsi" w:hAnsiTheme="minorHAnsi" w:cstheme="minorHAnsi"/>
          <w:bCs/>
          <w:iCs/>
          <w:sz w:val="22"/>
        </w:rPr>
        <w:t>ollect</w:t>
      </w:r>
      <w:r w:rsidRPr="00B667C4">
        <w:rPr>
          <w:rFonts w:asciiTheme="minorHAnsi" w:hAnsiTheme="minorHAnsi" w:cstheme="minorHAnsi"/>
          <w:bCs/>
          <w:iCs/>
          <w:sz w:val="22"/>
        </w:rPr>
        <w:t>ing more and better</w:t>
      </w:r>
      <w:r w:rsidR="004B7284" w:rsidRPr="00B667C4">
        <w:rPr>
          <w:rFonts w:asciiTheme="minorHAnsi" w:hAnsiTheme="minorHAnsi" w:cstheme="minorHAnsi"/>
          <w:bCs/>
          <w:iCs/>
          <w:sz w:val="22"/>
        </w:rPr>
        <w:t xml:space="preserve"> information on polic</w:t>
      </w:r>
      <w:r w:rsidR="009F3634" w:rsidRPr="00B667C4">
        <w:rPr>
          <w:rFonts w:asciiTheme="minorHAnsi" w:hAnsiTheme="minorHAnsi" w:cstheme="minorHAnsi"/>
          <w:bCs/>
          <w:iCs/>
          <w:sz w:val="22"/>
        </w:rPr>
        <w:t>ies that impact on trade costs</w:t>
      </w:r>
      <w:r w:rsidR="00271B5D" w:rsidRPr="00B667C4">
        <w:rPr>
          <w:rFonts w:asciiTheme="minorHAnsi" w:hAnsiTheme="minorHAnsi" w:cstheme="minorHAnsi"/>
          <w:bCs/>
          <w:iCs/>
          <w:sz w:val="22"/>
        </w:rPr>
        <w:t xml:space="preserve"> for goods and services</w:t>
      </w:r>
      <w:r w:rsidR="009F3634" w:rsidRPr="00B667C4">
        <w:rPr>
          <w:rFonts w:asciiTheme="minorHAnsi" w:hAnsiTheme="minorHAnsi" w:cstheme="minorHAnsi"/>
          <w:bCs/>
          <w:iCs/>
          <w:sz w:val="22"/>
        </w:rPr>
        <w:t xml:space="preserve">, the </w:t>
      </w:r>
      <w:r w:rsidRPr="00B667C4">
        <w:rPr>
          <w:rFonts w:asciiTheme="minorHAnsi" w:hAnsiTheme="minorHAnsi" w:cstheme="minorHAnsi"/>
          <w:bCs/>
          <w:iCs/>
          <w:sz w:val="22"/>
        </w:rPr>
        <w:t xml:space="preserve">changes in </w:t>
      </w:r>
      <w:r w:rsidR="009F3634" w:rsidRPr="00B667C4">
        <w:rPr>
          <w:rFonts w:asciiTheme="minorHAnsi" w:hAnsiTheme="minorHAnsi" w:cstheme="minorHAnsi"/>
          <w:bCs/>
          <w:iCs/>
          <w:sz w:val="22"/>
        </w:rPr>
        <w:t xml:space="preserve">such </w:t>
      </w:r>
      <w:r w:rsidRPr="00B667C4">
        <w:rPr>
          <w:rFonts w:asciiTheme="minorHAnsi" w:hAnsiTheme="minorHAnsi" w:cstheme="minorHAnsi"/>
          <w:bCs/>
          <w:iCs/>
          <w:sz w:val="22"/>
        </w:rPr>
        <w:t xml:space="preserve">policies </w:t>
      </w:r>
      <w:r w:rsidR="009F3634" w:rsidRPr="00B667C4">
        <w:rPr>
          <w:rFonts w:asciiTheme="minorHAnsi" w:hAnsiTheme="minorHAnsi" w:cstheme="minorHAnsi"/>
          <w:bCs/>
          <w:iCs/>
          <w:sz w:val="22"/>
        </w:rPr>
        <w:t xml:space="preserve">over time, the magnitude and allocation of </w:t>
      </w:r>
      <w:r w:rsidR="004B7284" w:rsidRPr="00B667C4">
        <w:rPr>
          <w:rFonts w:asciiTheme="minorHAnsi" w:hAnsiTheme="minorHAnsi" w:cstheme="minorHAnsi"/>
          <w:bCs/>
          <w:iCs/>
          <w:sz w:val="22"/>
        </w:rPr>
        <w:t>aid for trade</w:t>
      </w:r>
      <w:r w:rsidR="009F3634" w:rsidRPr="00B667C4">
        <w:rPr>
          <w:rFonts w:asciiTheme="minorHAnsi" w:hAnsiTheme="minorHAnsi" w:cstheme="minorHAnsi"/>
          <w:bCs/>
          <w:iCs/>
          <w:sz w:val="22"/>
        </w:rPr>
        <w:t xml:space="preserve"> projects</w:t>
      </w:r>
      <w:r w:rsidR="00036E84" w:rsidRPr="00B667C4">
        <w:rPr>
          <w:rFonts w:asciiTheme="minorHAnsi" w:hAnsiTheme="minorHAnsi" w:cstheme="minorHAnsi"/>
          <w:bCs/>
          <w:iCs/>
          <w:sz w:val="22"/>
        </w:rPr>
        <w:t>,</w:t>
      </w:r>
      <w:r w:rsidR="004B7284" w:rsidRPr="00B667C4">
        <w:rPr>
          <w:rFonts w:asciiTheme="minorHAnsi" w:hAnsiTheme="minorHAnsi" w:cstheme="minorHAnsi"/>
          <w:bCs/>
          <w:iCs/>
          <w:sz w:val="22"/>
        </w:rPr>
        <w:t xml:space="preserve"> and assess</w:t>
      </w:r>
      <w:r w:rsidRPr="00B667C4">
        <w:rPr>
          <w:rFonts w:asciiTheme="minorHAnsi" w:hAnsiTheme="minorHAnsi" w:cstheme="minorHAnsi"/>
          <w:bCs/>
          <w:iCs/>
          <w:sz w:val="22"/>
        </w:rPr>
        <w:t>ing</w:t>
      </w:r>
      <w:r w:rsidR="004B7284" w:rsidRPr="00B667C4">
        <w:rPr>
          <w:rFonts w:asciiTheme="minorHAnsi" w:hAnsiTheme="minorHAnsi" w:cstheme="minorHAnsi"/>
          <w:bCs/>
          <w:iCs/>
          <w:sz w:val="22"/>
        </w:rPr>
        <w:t xml:space="preserve"> how these </w:t>
      </w:r>
      <w:r w:rsidR="009F3634" w:rsidRPr="00B667C4">
        <w:rPr>
          <w:rFonts w:asciiTheme="minorHAnsi" w:hAnsiTheme="minorHAnsi" w:cstheme="minorHAnsi"/>
          <w:bCs/>
          <w:iCs/>
          <w:sz w:val="22"/>
        </w:rPr>
        <w:t xml:space="preserve">factors </w:t>
      </w:r>
      <w:r w:rsidR="004B7284" w:rsidRPr="00B667C4">
        <w:rPr>
          <w:rFonts w:asciiTheme="minorHAnsi" w:hAnsiTheme="minorHAnsi" w:cstheme="minorHAnsi"/>
          <w:bCs/>
          <w:iCs/>
          <w:sz w:val="22"/>
        </w:rPr>
        <w:t xml:space="preserve">impact on performance indicators and measures of trade costs </w:t>
      </w:r>
      <w:r w:rsidR="00036E84" w:rsidRPr="00B667C4">
        <w:rPr>
          <w:rFonts w:asciiTheme="minorHAnsi" w:hAnsiTheme="minorHAnsi" w:cstheme="minorHAnsi"/>
          <w:bCs/>
          <w:iCs/>
          <w:sz w:val="22"/>
        </w:rPr>
        <w:t>should be a priority</w:t>
      </w:r>
      <w:r w:rsidR="004B7284" w:rsidRPr="00B667C4">
        <w:rPr>
          <w:rFonts w:asciiTheme="minorHAnsi" w:hAnsiTheme="minorHAnsi" w:cstheme="minorHAnsi"/>
          <w:bCs/>
          <w:iCs/>
          <w:sz w:val="22"/>
        </w:rPr>
        <w:t xml:space="preserve">. </w:t>
      </w:r>
      <w:r w:rsidRPr="00B667C4">
        <w:rPr>
          <w:rFonts w:asciiTheme="minorHAnsi" w:hAnsiTheme="minorHAnsi" w:cstheme="minorHAnsi"/>
          <w:bCs/>
          <w:iCs/>
          <w:sz w:val="22"/>
        </w:rPr>
        <w:t xml:space="preserve">There has been more focus on the effects on nontariff measures in the research literature and the </w:t>
      </w:r>
      <w:r w:rsidR="009F3634" w:rsidRPr="00B667C4">
        <w:rPr>
          <w:rFonts w:asciiTheme="minorHAnsi" w:hAnsiTheme="minorHAnsi" w:cstheme="minorHAnsi"/>
          <w:bCs/>
          <w:iCs/>
          <w:sz w:val="22"/>
        </w:rPr>
        <w:t xml:space="preserve">implications of </w:t>
      </w:r>
      <w:r w:rsidRPr="00B667C4">
        <w:rPr>
          <w:rFonts w:asciiTheme="minorHAnsi" w:hAnsiTheme="minorHAnsi" w:cstheme="minorHAnsi"/>
          <w:bCs/>
          <w:iCs/>
          <w:sz w:val="22"/>
        </w:rPr>
        <w:t xml:space="preserve">“non-integration” of African markets </w:t>
      </w:r>
      <w:r w:rsidR="00036E84" w:rsidRPr="00B667C4">
        <w:rPr>
          <w:rFonts w:asciiTheme="minorHAnsi" w:hAnsiTheme="minorHAnsi" w:cstheme="minorHAnsi"/>
          <w:bCs/>
          <w:iCs/>
          <w:sz w:val="22"/>
        </w:rPr>
        <w:t>(</w:t>
      </w:r>
      <w:r w:rsidRPr="00B667C4">
        <w:rPr>
          <w:rFonts w:asciiTheme="minorHAnsi" w:hAnsiTheme="minorHAnsi" w:cstheme="minorHAnsi"/>
          <w:bCs/>
          <w:iCs/>
          <w:sz w:val="22"/>
        </w:rPr>
        <w:t>e.g., Balchin</w:t>
      </w:r>
      <w:r w:rsidR="00036E84" w:rsidRPr="00B667C4">
        <w:rPr>
          <w:rFonts w:asciiTheme="minorHAnsi" w:hAnsiTheme="minorHAnsi" w:cstheme="minorHAnsi"/>
          <w:bCs/>
          <w:iCs/>
          <w:sz w:val="22"/>
        </w:rPr>
        <w:t xml:space="preserve">, </w:t>
      </w:r>
      <w:r w:rsidR="00036E84" w:rsidRPr="00B667C4">
        <w:rPr>
          <w:rFonts w:asciiTheme="minorHAnsi" w:hAnsiTheme="minorHAnsi" w:cstheme="minorHAnsi"/>
          <w:color w:val="2A2A2A"/>
          <w:sz w:val="22"/>
          <w:shd w:val="clear" w:color="auto" w:fill="FFFFFF"/>
        </w:rPr>
        <w:t xml:space="preserve">Edwards and Sundaram, 2015; </w:t>
      </w:r>
      <w:r w:rsidR="00CC2A6D" w:rsidRPr="00B667C4">
        <w:rPr>
          <w:rFonts w:asciiTheme="minorHAnsi" w:hAnsiTheme="minorHAnsi" w:cstheme="minorHAnsi"/>
          <w:color w:val="2A2A2A"/>
          <w:sz w:val="22"/>
          <w:shd w:val="clear" w:color="auto" w:fill="FFFFFF"/>
        </w:rPr>
        <w:t xml:space="preserve">Dihel and Goswami, 2016; </w:t>
      </w:r>
      <w:r w:rsidRPr="00B667C4">
        <w:rPr>
          <w:rFonts w:asciiTheme="minorHAnsi" w:hAnsiTheme="minorHAnsi" w:cstheme="minorHAnsi"/>
          <w:bCs/>
          <w:iCs/>
          <w:sz w:val="22"/>
        </w:rPr>
        <w:t xml:space="preserve">Cadot </w:t>
      </w:r>
      <w:r w:rsidR="00036E84" w:rsidRPr="00B667C4">
        <w:rPr>
          <w:rFonts w:asciiTheme="minorHAnsi" w:hAnsiTheme="minorHAnsi" w:cstheme="minorHAnsi"/>
          <w:bCs/>
          <w:iCs/>
          <w:sz w:val="22"/>
        </w:rPr>
        <w:t>and Gourdon, 2014</w:t>
      </w:r>
      <w:r w:rsidR="00800D37" w:rsidRPr="00B667C4">
        <w:rPr>
          <w:rFonts w:asciiTheme="minorHAnsi" w:hAnsiTheme="minorHAnsi" w:cstheme="minorHAnsi"/>
          <w:bCs/>
          <w:iCs/>
          <w:sz w:val="22"/>
        </w:rPr>
        <w:t xml:space="preserve">; </w:t>
      </w:r>
      <w:r w:rsidR="00800D37" w:rsidRPr="00B667C4">
        <w:rPr>
          <w:rFonts w:asciiTheme="minorHAnsi" w:hAnsiTheme="minorHAnsi" w:cstheme="minorHAnsi"/>
          <w:color w:val="2A2A2A"/>
          <w:sz w:val="22"/>
          <w:shd w:val="clear" w:color="auto" w:fill="FFFFFF"/>
        </w:rPr>
        <w:t>Cissokho</w:t>
      </w:r>
      <w:r w:rsidR="00800D37" w:rsidRPr="00B667C4" w:rsidDel="00036E84">
        <w:rPr>
          <w:rFonts w:asciiTheme="minorHAnsi" w:hAnsiTheme="minorHAnsi" w:cstheme="minorHAnsi"/>
          <w:bCs/>
          <w:iCs/>
          <w:sz w:val="22"/>
        </w:rPr>
        <w:t xml:space="preserve"> </w:t>
      </w:r>
      <w:r w:rsidR="00800D37" w:rsidRPr="00B667C4">
        <w:rPr>
          <w:rFonts w:asciiTheme="minorHAnsi" w:hAnsiTheme="minorHAnsi" w:cstheme="minorHAnsi"/>
          <w:bCs/>
          <w:iCs/>
          <w:sz w:val="22"/>
        </w:rPr>
        <w:t>et al.</w:t>
      </w:r>
      <w:r w:rsidR="006610F8" w:rsidRPr="00B667C4">
        <w:rPr>
          <w:rFonts w:asciiTheme="minorHAnsi" w:hAnsiTheme="minorHAnsi" w:cstheme="minorHAnsi"/>
          <w:bCs/>
          <w:iCs/>
          <w:sz w:val="22"/>
        </w:rPr>
        <w:t xml:space="preserve">, </w:t>
      </w:r>
      <w:r w:rsidR="00800D37" w:rsidRPr="00B667C4">
        <w:rPr>
          <w:rFonts w:asciiTheme="minorHAnsi" w:hAnsiTheme="minorHAnsi" w:cstheme="minorHAnsi"/>
          <w:bCs/>
          <w:iCs/>
          <w:sz w:val="22"/>
        </w:rPr>
        <w:t>2013</w:t>
      </w:r>
      <w:r w:rsidR="00260E90" w:rsidRPr="00B667C4">
        <w:rPr>
          <w:rFonts w:asciiTheme="minorHAnsi" w:hAnsiTheme="minorHAnsi" w:cstheme="minorHAnsi"/>
          <w:bCs/>
          <w:iCs/>
          <w:sz w:val="22"/>
        </w:rPr>
        <w:t>; Storeygard, 2016</w:t>
      </w:r>
      <w:r w:rsidR="00036E84" w:rsidRPr="00B667C4">
        <w:rPr>
          <w:rFonts w:asciiTheme="minorHAnsi" w:hAnsiTheme="minorHAnsi" w:cstheme="minorHAnsi"/>
          <w:bCs/>
          <w:iCs/>
          <w:sz w:val="22"/>
        </w:rPr>
        <w:t>).</w:t>
      </w:r>
      <w:r w:rsidRPr="00B667C4">
        <w:rPr>
          <w:rFonts w:asciiTheme="minorHAnsi" w:hAnsiTheme="minorHAnsi" w:cstheme="minorHAnsi"/>
          <w:bCs/>
          <w:iCs/>
          <w:sz w:val="22"/>
        </w:rPr>
        <w:t xml:space="preserve"> More such research is needed</w:t>
      </w:r>
      <w:r w:rsidR="006610F8" w:rsidRPr="00B667C4">
        <w:rPr>
          <w:rFonts w:asciiTheme="minorHAnsi" w:hAnsiTheme="minorHAnsi" w:cstheme="minorHAnsi"/>
          <w:bCs/>
          <w:iCs/>
          <w:sz w:val="22"/>
        </w:rPr>
        <w:t xml:space="preserve"> that ties directly to the trade cost reduction agenda in Africa</w:t>
      </w:r>
      <w:r w:rsidRPr="00B667C4">
        <w:rPr>
          <w:rFonts w:asciiTheme="minorHAnsi" w:hAnsiTheme="minorHAnsi" w:cstheme="minorHAnsi"/>
          <w:bCs/>
          <w:iCs/>
          <w:sz w:val="22"/>
        </w:rPr>
        <w:t xml:space="preserve">. </w:t>
      </w:r>
      <w:r w:rsidR="00036E84" w:rsidRPr="00B667C4">
        <w:rPr>
          <w:rFonts w:asciiTheme="minorHAnsi" w:hAnsiTheme="minorHAnsi" w:cstheme="minorHAnsi"/>
          <w:bCs/>
          <w:iCs/>
          <w:sz w:val="22"/>
        </w:rPr>
        <w:t xml:space="preserve">This </w:t>
      </w:r>
      <w:r w:rsidR="00036E84" w:rsidRPr="00B667C4">
        <w:rPr>
          <w:rFonts w:asciiTheme="minorHAnsi" w:hAnsiTheme="minorHAnsi" w:cstheme="minorHAnsi"/>
          <w:sz w:val="22"/>
        </w:rPr>
        <w:t>c</w:t>
      </w:r>
      <w:r w:rsidRPr="00B667C4">
        <w:rPr>
          <w:rFonts w:asciiTheme="minorHAnsi" w:hAnsiTheme="minorHAnsi" w:cstheme="minorHAnsi"/>
          <w:sz w:val="22"/>
        </w:rPr>
        <w:t xml:space="preserve">an build on </w:t>
      </w:r>
      <w:r w:rsidR="00733B67" w:rsidRPr="00B667C4">
        <w:rPr>
          <w:rFonts w:asciiTheme="minorHAnsi" w:hAnsiTheme="minorHAnsi" w:cstheme="minorHAnsi"/>
          <w:sz w:val="22"/>
        </w:rPr>
        <w:t>the</w:t>
      </w:r>
      <w:r w:rsidR="00D269A5" w:rsidRPr="00B667C4">
        <w:rPr>
          <w:rFonts w:asciiTheme="minorHAnsi" w:hAnsiTheme="minorHAnsi" w:cstheme="minorHAnsi"/>
          <w:sz w:val="22"/>
        </w:rPr>
        <w:t xml:space="preserve"> Trade Costs Database that has been compiled by t</w:t>
      </w:r>
      <w:r w:rsidRPr="00B667C4">
        <w:rPr>
          <w:rFonts w:asciiTheme="minorHAnsi" w:hAnsiTheme="minorHAnsi" w:cstheme="minorHAnsi"/>
          <w:sz w:val="22"/>
        </w:rPr>
        <w:t>he UN Economic and Social Commission for Asia and the Pacific (UNESCAP) and the World Bank</w:t>
      </w:r>
      <w:r w:rsidR="006610F8" w:rsidRPr="00B667C4">
        <w:rPr>
          <w:rFonts w:asciiTheme="minorHAnsi" w:hAnsiTheme="minorHAnsi" w:cstheme="minorHAnsi"/>
          <w:sz w:val="22"/>
        </w:rPr>
        <w:t xml:space="preserve"> that</w:t>
      </w:r>
      <w:r w:rsidRPr="00B667C4">
        <w:rPr>
          <w:rFonts w:asciiTheme="minorHAnsi" w:hAnsiTheme="minorHAnsi" w:cstheme="minorHAnsi"/>
          <w:sz w:val="22"/>
        </w:rPr>
        <w:t xml:space="preserve"> contains bilateral trade costs </w:t>
      </w:r>
      <w:r w:rsidR="006610F8" w:rsidRPr="00B667C4">
        <w:rPr>
          <w:rFonts w:asciiTheme="minorHAnsi" w:hAnsiTheme="minorHAnsi" w:cstheme="minorHAnsi"/>
          <w:sz w:val="22"/>
        </w:rPr>
        <w:t xml:space="preserve">for </w:t>
      </w:r>
      <w:r w:rsidRPr="00B667C4">
        <w:rPr>
          <w:rFonts w:asciiTheme="minorHAnsi" w:hAnsiTheme="minorHAnsi" w:cstheme="minorHAnsi"/>
          <w:sz w:val="22"/>
        </w:rPr>
        <w:t>manufacturing and agricultur</w:t>
      </w:r>
      <w:r w:rsidR="006610F8" w:rsidRPr="00B667C4">
        <w:rPr>
          <w:rFonts w:asciiTheme="minorHAnsi" w:hAnsiTheme="minorHAnsi" w:cstheme="minorHAnsi"/>
          <w:sz w:val="22"/>
        </w:rPr>
        <w:t xml:space="preserve">al products </w:t>
      </w:r>
      <w:r w:rsidRPr="00B667C4">
        <w:rPr>
          <w:rFonts w:asciiTheme="minorHAnsi" w:hAnsiTheme="minorHAnsi" w:cstheme="minorHAnsi"/>
          <w:sz w:val="22"/>
        </w:rPr>
        <w:t>for more than 150 countries, including Africa</w:t>
      </w:r>
      <w:r w:rsidR="008B42BF" w:rsidRPr="00B667C4">
        <w:rPr>
          <w:rFonts w:asciiTheme="minorHAnsi" w:hAnsiTheme="minorHAnsi" w:cstheme="minorHAnsi"/>
          <w:sz w:val="22"/>
        </w:rPr>
        <w:t xml:space="preserve"> (Arvis et al., 201</w:t>
      </w:r>
      <w:r w:rsidR="00A00DE0">
        <w:rPr>
          <w:rFonts w:asciiTheme="minorHAnsi" w:hAnsiTheme="minorHAnsi" w:cstheme="minorHAnsi"/>
          <w:sz w:val="22"/>
        </w:rPr>
        <w:t>6</w:t>
      </w:r>
      <w:r w:rsidR="008B42BF" w:rsidRPr="00B667C4">
        <w:rPr>
          <w:rFonts w:asciiTheme="minorHAnsi" w:hAnsiTheme="minorHAnsi" w:cstheme="minorHAnsi"/>
          <w:sz w:val="22"/>
        </w:rPr>
        <w:t>)</w:t>
      </w:r>
      <w:r w:rsidRPr="00B667C4">
        <w:rPr>
          <w:rFonts w:asciiTheme="minorHAnsi" w:hAnsiTheme="minorHAnsi" w:cstheme="minorHAnsi"/>
          <w:sz w:val="22"/>
        </w:rPr>
        <w:t xml:space="preserve">. </w:t>
      </w:r>
      <w:r w:rsidR="00D269A5" w:rsidRPr="00B667C4">
        <w:rPr>
          <w:rFonts w:asciiTheme="minorHAnsi" w:hAnsiTheme="minorHAnsi" w:cstheme="minorHAnsi"/>
          <w:sz w:val="22"/>
        </w:rPr>
        <w:t xml:space="preserve">This </w:t>
      </w:r>
      <w:r w:rsidR="00430413" w:rsidRPr="00B667C4">
        <w:rPr>
          <w:rFonts w:asciiTheme="minorHAnsi" w:hAnsiTheme="minorHAnsi" w:cstheme="minorHAnsi"/>
          <w:sz w:val="22"/>
        </w:rPr>
        <w:t xml:space="preserve">dataset </w:t>
      </w:r>
      <w:r w:rsidR="006610F8" w:rsidRPr="00B667C4">
        <w:rPr>
          <w:rFonts w:asciiTheme="minorHAnsi" w:hAnsiTheme="minorHAnsi" w:cstheme="minorHAnsi"/>
          <w:sz w:val="22"/>
        </w:rPr>
        <w:t>is updated annually</w:t>
      </w:r>
      <w:r w:rsidR="00430413" w:rsidRPr="00B667C4">
        <w:rPr>
          <w:rFonts w:asciiTheme="minorHAnsi" w:hAnsiTheme="minorHAnsi" w:cstheme="minorHAnsi"/>
          <w:sz w:val="22"/>
        </w:rPr>
        <w:t xml:space="preserve"> and tracks </w:t>
      </w:r>
      <w:r w:rsidRPr="00B667C4">
        <w:rPr>
          <w:rFonts w:asciiTheme="minorHAnsi" w:hAnsiTheme="minorHAnsi" w:cstheme="minorHAnsi"/>
          <w:sz w:val="22"/>
        </w:rPr>
        <w:t>the evolution of trade costs through time in different income groups and regions</w:t>
      </w:r>
      <w:r w:rsidR="00430413" w:rsidRPr="00B667C4">
        <w:rPr>
          <w:rFonts w:asciiTheme="minorHAnsi" w:hAnsiTheme="minorHAnsi" w:cstheme="minorHAnsi"/>
          <w:sz w:val="22"/>
        </w:rPr>
        <w:t xml:space="preserve">. The data </w:t>
      </w:r>
      <w:r w:rsidR="006610F8" w:rsidRPr="00B667C4">
        <w:rPr>
          <w:rFonts w:asciiTheme="minorHAnsi" w:hAnsiTheme="minorHAnsi" w:cstheme="minorHAnsi"/>
          <w:sz w:val="22"/>
        </w:rPr>
        <w:t xml:space="preserve">provides the opportunity </w:t>
      </w:r>
      <w:r w:rsidR="008B42BF" w:rsidRPr="00B667C4">
        <w:rPr>
          <w:rFonts w:asciiTheme="minorHAnsi" w:hAnsiTheme="minorHAnsi" w:cstheme="minorHAnsi"/>
          <w:sz w:val="22"/>
        </w:rPr>
        <w:t xml:space="preserve">for researchers </w:t>
      </w:r>
      <w:r w:rsidR="006610F8" w:rsidRPr="00B667C4">
        <w:rPr>
          <w:rFonts w:asciiTheme="minorHAnsi" w:hAnsiTheme="minorHAnsi" w:cstheme="minorHAnsi"/>
          <w:sz w:val="22"/>
        </w:rPr>
        <w:t>to unpack the constituent elements of these aggregate measures of trade costs</w:t>
      </w:r>
      <w:r w:rsidR="00430413" w:rsidRPr="00B667C4">
        <w:rPr>
          <w:rFonts w:asciiTheme="minorHAnsi" w:hAnsiTheme="minorHAnsi" w:cstheme="minorHAnsi"/>
          <w:sz w:val="22"/>
        </w:rPr>
        <w:t>,</w:t>
      </w:r>
      <w:r w:rsidR="008B42BF" w:rsidRPr="00B667C4">
        <w:rPr>
          <w:rFonts w:asciiTheme="minorHAnsi" w:hAnsiTheme="minorHAnsi" w:cstheme="minorHAnsi"/>
          <w:sz w:val="22"/>
        </w:rPr>
        <w:t xml:space="preserve"> including </w:t>
      </w:r>
      <w:r w:rsidR="007F2C71" w:rsidRPr="00B667C4">
        <w:rPr>
          <w:rFonts w:asciiTheme="minorHAnsi" w:hAnsiTheme="minorHAnsi" w:cstheme="minorHAnsi"/>
          <w:color w:val="000000" w:themeColor="text1"/>
          <w:sz w:val="22"/>
        </w:rPr>
        <w:t xml:space="preserve">specific </w:t>
      </w:r>
      <w:r w:rsidRPr="00B667C4">
        <w:rPr>
          <w:rFonts w:asciiTheme="minorHAnsi" w:hAnsiTheme="minorHAnsi" w:cstheme="minorHAnsi"/>
          <w:color w:val="000000" w:themeColor="text1"/>
          <w:sz w:val="22"/>
        </w:rPr>
        <w:t>policy changes</w:t>
      </w:r>
      <w:r w:rsidR="007F2C71" w:rsidRPr="00B667C4">
        <w:rPr>
          <w:rFonts w:asciiTheme="minorHAnsi" w:hAnsiTheme="minorHAnsi" w:cstheme="minorHAnsi"/>
          <w:color w:val="000000" w:themeColor="text1"/>
          <w:sz w:val="22"/>
        </w:rPr>
        <w:t xml:space="preserve">, </w:t>
      </w:r>
      <w:r w:rsidRPr="00B667C4">
        <w:rPr>
          <w:rFonts w:asciiTheme="minorHAnsi" w:hAnsiTheme="minorHAnsi" w:cstheme="minorHAnsi"/>
          <w:color w:val="000000" w:themeColor="text1"/>
          <w:sz w:val="22"/>
        </w:rPr>
        <w:t>public investments (</w:t>
      </w:r>
      <w:r w:rsidR="007F2C71" w:rsidRPr="00B667C4">
        <w:rPr>
          <w:rFonts w:asciiTheme="minorHAnsi" w:hAnsiTheme="minorHAnsi" w:cstheme="minorHAnsi"/>
          <w:color w:val="000000" w:themeColor="text1"/>
          <w:sz w:val="22"/>
        </w:rPr>
        <w:t>aid-for-trade</w:t>
      </w:r>
      <w:r w:rsidRPr="00B667C4">
        <w:rPr>
          <w:rFonts w:asciiTheme="minorHAnsi" w:hAnsiTheme="minorHAnsi" w:cstheme="minorHAnsi"/>
          <w:color w:val="000000" w:themeColor="text1"/>
          <w:sz w:val="22"/>
        </w:rPr>
        <w:t>)</w:t>
      </w:r>
      <w:r w:rsidR="008B42BF" w:rsidRPr="00B667C4">
        <w:rPr>
          <w:rFonts w:asciiTheme="minorHAnsi" w:hAnsiTheme="minorHAnsi" w:cstheme="minorHAnsi"/>
          <w:color w:val="000000" w:themeColor="text1"/>
          <w:sz w:val="22"/>
        </w:rPr>
        <w:t xml:space="preserve"> and</w:t>
      </w:r>
      <w:r w:rsidRPr="00B667C4">
        <w:rPr>
          <w:rFonts w:asciiTheme="minorHAnsi" w:hAnsiTheme="minorHAnsi" w:cstheme="minorHAnsi"/>
          <w:color w:val="000000" w:themeColor="text1"/>
          <w:sz w:val="22"/>
        </w:rPr>
        <w:t xml:space="preserve"> </w:t>
      </w:r>
      <w:r w:rsidR="007F2C71" w:rsidRPr="00B667C4">
        <w:rPr>
          <w:rFonts w:asciiTheme="minorHAnsi" w:hAnsiTheme="minorHAnsi" w:cstheme="minorHAnsi"/>
          <w:color w:val="000000" w:themeColor="text1"/>
          <w:sz w:val="22"/>
        </w:rPr>
        <w:t xml:space="preserve">implementation of </w:t>
      </w:r>
      <w:r w:rsidR="008B42BF" w:rsidRPr="00B667C4">
        <w:rPr>
          <w:rFonts w:asciiTheme="minorHAnsi" w:hAnsiTheme="minorHAnsi" w:cstheme="minorHAnsi"/>
          <w:color w:val="000000" w:themeColor="text1"/>
          <w:sz w:val="22"/>
        </w:rPr>
        <w:t xml:space="preserve">African </w:t>
      </w:r>
      <w:r w:rsidRPr="00B667C4">
        <w:rPr>
          <w:rFonts w:asciiTheme="minorHAnsi" w:hAnsiTheme="minorHAnsi" w:cstheme="minorHAnsi"/>
          <w:color w:val="000000" w:themeColor="text1"/>
          <w:sz w:val="22"/>
        </w:rPr>
        <w:t xml:space="preserve">regional trade agreements. </w:t>
      </w:r>
    </w:p>
    <w:p w14:paraId="54CDEA55" w14:textId="2B19521F" w:rsidR="00902435" w:rsidRPr="00B667C4" w:rsidRDefault="008B42BF" w:rsidP="00733B67">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More information exists today than ever before on relevant policies, governance indicators and aid for trade disbursements. T</w:t>
      </w:r>
      <w:r w:rsidR="00311013" w:rsidRPr="00B667C4">
        <w:rPr>
          <w:rFonts w:asciiTheme="minorHAnsi" w:hAnsiTheme="minorHAnsi" w:cstheme="minorHAnsi"/>
          <w:color w:val="000000" w:themeColor="text1"/>
          <w:sz w:val="22"/>
        </w:rPr>
        <w:t xml:space="preserve">he World Bank </w:t>
      </w:r>
      <w:r w:rsidRPr="00B667C4">
        <w:rPr>
          <w:rFonts w:asciiTheme="minorHAnsi" w:hAnsiTheme="minorHAnsi" w:cstheme="minorHAnsi"/>
          <w:color w:val="000000" w:themeColor="text1"/>
          <w:sz w:val="22"/>
        </w:rPr>
        <w:t>compiles data on services trade restrictions (STRI), on logistics performance (the LPI), the efficiency of border clearance processes (the Doing Business trading across borders indicators) and a variety of economic governance variables</w:t>
      </w:r>
      <w:r w:rsidR="00311013" w:rsidRPr="00B667C4">
        <w:rPr>
          <w:rFonts w:asciiTheme="minorHAnsi" w:hAnsiTheme="minorHAnsi" w:cstheme="minorHAnsi"/>
          <w:color w:val="000000" w:themeColor="text1"/>
          <w:sz w:val="22"/>
        </w:rPr>
        <w:t xml:space="preserve"> on a country-by-country basis</w:t>
      </w:r>
      <w:r w:rsidRPr="00B667C4">
        <w:rPr>
          <w:rFonts w:asciiTheme="minorHAnsi" w:hAnsiTheme="minorHAnsi" w:cstheme="minorHAnsi"/>
          <w:color w:val="000000" w:themeColor="text1"/>
          <w:sz w:val="22"/>
        </w:rPr>
        <w:t xml:space="preserve">. </w:t>
      </w:r>
      <w:r w:rsidR="008F5528" w:rsidRPr="00B667C4">
        <w:rPr>
          <w:rFonts w:asciiTheme="minorHAnsi" w:hAnsiTheme="minorHAnsi" w:cstheme="minorHAnsi"/>
          <w:color w:val="000000" w:themeColor="text1"/>
          <w:sz w:val="22"/>
        </w:rPr>
        <w:t>The OECD compiles data on aid for trade programs and allocations. While these data sources have weaknesses</w:t>
      </w:r>
      <w:r w:rsidR="0084780A" w:rsidRPr="00B667C4">
        <w:rPr>
          <w:rFonts w:asciiTheme="minorHAnsi" w:hAnsiTheme="minorHAnsi" w:cstheme="minorHAnsi"/>
          <w:color w:val="000000" w:themeColor="text1"/>
          <w:sz w:val="22"/>
        </w:rPr>
        <w:t>,</w:t>
      </w:r>
      <w:r w:rsidR="008F5528" w:rsidRPr="00B667C4">
        <w:rPr>
          <w:rFonts w:asciiTheme="minorHAnsi" w:hAnsiTheme="minorHAnsi" w:cstheme="minorHAnsi"/>
          <w:color w:val="000000" w:themeColor="text1"/>
          <w:sz w:val="22"/>
        </w:rPr>
        <w:t xml:space="preserve"> they </w:t>
      </w:r>
      <w:r w:rsidR="00311013" w:rsidRPr="00B667C4">
        <w:rPr>
          <w:rFonts w:asciiTheme="minorHAnsi" w:hAnsiTheme="minorHAnsi" w:cstheme="minorHAnsi"/>
          <w:color w:val="000000" w:themeColor="text1"/>
          <w:sz w:val="22"/>
        </w:rPr>
        <w:t xml:space="preserve">permit </w:t>
      </w:r>
      <w:r w:rsidRPr="00B667C4">
        <w:rPr>
          <w:rFonts w:asciiTheme="minorHAnsi" w:hAnsiTheme="minorHAnsi" w:cstheme="minorHAnsi"/>
          <w:color w:val="000000" w:themeColor="text1"/>
          <w:sz w:val="22"/>
        </w:rPr>
        <w:t xml:space="preserve">analysis of </w:t>
      </w:r>
      <w:r w:rsidR="00311013" w:rsidRPr="00B667C4">
        <w:rPr>
          <w:rFonts w:asciiTheme="minorHAnsi" w:hAnsiTheme="minorHAnsi" w:cstheme="minorHAnsi"/>
          <w:color w:val="000000" w:themeColor="text1"/>
          <w:sz w:val="22"/>
        </w:rPr>
        <w:t xml:space="preserve">how different policies </w:t>
      </w:r>
      <w:r w:rsidRPr="00B667C4">
        <w:rPr>
          <w:rFonts w:asciiTheme="minorHAnsi" w:hAnsiTheme="minorHAnsi" w:cstheme="minorHAnsi"/>
          <w:color w:val="000000" w:themeColor="text1"/>
          <w:sz w:val="22"/>
        </w:rPr>
        <w:t xml:space="preserve">and changes in the level of indicators </w:t>
      </w:r>
      <w:r w:rsidR="00311013" w:rsidRPr="00B667C4">
        <w:rPr>
          <w:rFonts w:asciiTheme="minorHAnsi" w:hAnsiTheme="minorHAnsi" w:cstheme="minorHAnsi"/>
          <w:color w:val="000000" w:themeColor="text1"/>
          <w:sz w:val="22"/>
        </w:rPr>
        <w:t xml:space="preserve">impact on trade costs. But </w:t>
      </w:r>
      <w:r w:rsidR="008F5528" w:rsidRPr="00B667C4">
        <w:rPr>
          <w:rFonts w:asciiTheme="minorHAnsi" w:hAnsiTheme="minorHAnsi" w:cstheme="minorHAnsi"/>
          <w:color w:val="000000" w:themeColor="text1"/>
          <w:sz w:val="22"/>
        </w:rPr>
        <w:t xml:space="preserve">it is necessary to go further and pursue </w:t>
      </w:r>
      <w:r w:rsidR="00311013" w:rsidRPr="00B667C4">
        <w:rPr>
          <w:rFonts w:asciiTheme="minorHAnsi" w:hAnsiTheme="minorHAnsi" w:cstheme="minorHAnsi"/>
          <w:color w:val="000000" w:themeColor="text1"/>
          <w:sz w:val="22"/>
        </w:rPr>
        <w:t xml:space="preserve">more granular </w:t>
      </w:r>
      <w:r w:rsidR="00455966" w:rsidRPr="00B667C4">
        <w:rPr>
          <w:rFonts w:asciiTheme="minorHAnsi" w:hAnsiTheme="minorHAnsi" w:cstheme="minorHAnsi"/>
          <w:color w:val="000000" w:themeColor="text1"/>
          <w:sz w:val="22"/>
        </w:rPr>
        <w:t>re</w:t>
      </w:r>
      <w:r w:rsidR="00311013" w:rsidRPr="00B667C4">
        <w:rPr>
          <w:rFonts w:asciiTheme="minorHAnsi" w:hAnsiTheme="minorHAnsi" w:cstheme="minorHAnsi"/>
          <w:color w:val="000000" w:themeColor="text1"/>
          <w:sz w:val="22"/>
        </w:rPr>
        <w:t>search</w:t>
      </w:r>
      <w:r w:rsidR="00455966" w:rsidRPr="00B667C4">
        <w:rPr>
          <w:rFonts w:asciiTheme="minorHAnsi" w:hAnsiTheme="minorHAnsi" w:cstheme="minorHAnsi"/>
          <w:color w:val="000000" w:themeColor="text1"/>
          <w:sz w:val="22"/>
        </w:rPr>
        <w:t>. This require</w:t>
      </w:r>
      <w:r w:rsidR="00733B67" w:rsidRPr="00B667C4">
        <w:rPr>
          <w:rFonts w:asciiTheme="minorHAnsi" w:hAnsiTheme="minorHAnsi" w:cstheme="minorHAnsi"/>
          <w:color w:val="000000" w:themeColor="text1"/>
          <w:sz w:val="22"/>
        </w:rPr>
        <w:t>s</w:t>
      </w:r>
      <w:r w:rsidR="008F5528" w:rsidRPr="00B667C4">
        <w:rPr>
          <w:rFonts w:asciiTheme="minorHAnsi" w:hAnsiTheme="minorHAnsi" w:cstheme="minorHAnsi"/>
          <w:color w:val="000000" w:themeColor="text1"/>
          <w:sz w:val="22"/>
        </w:rPr>
        <w:t xml:space="preserve"> </w:t>
      </w:r>
      <w:r w:rsidRPr="00B667C4">
        <w:rPr>
          <w:rFonts w:asciiTheme="minorHAnsi" w:hAnsiTheme="minorHAnsi" w:cstheme="minorHAnsi"/>
          <w:color w:val="000000" w:themeColor="text1"/>
          <w:sz w:val="22"/>
        </w:rPr>
        <w:t>collectin</w:t>
      </w:r>
      <w:r w:rsidR="008F5528" w:rsidRPr="00B667C4">
        <w:rPr>
          <w:rFonts w:asciiTheme="minorHAnsi" w:hAnsiTheme="minorHAnsi" w:cstheme="minorHAnsi"/>
          <w:color w:val="000000" w:themeColor="text1"/>
          <w:sz w:val="22"/>
        </w:rPr>
        <w:t>g</w:t>
      </w:r>
      <w:r w:rsidRPr="00B667C4">
        <w:rPr>
          <w:rFonts w:asciiTheme="minorHAnsi" w:hAnsiTheme="minorHAnsi" w:cstheme="minorHAnsi"/>
          <w:color w:val="000000" w:themeColor="text1"/>
          <w:sz w:val="22"/>
        </w:rPr>
        <w:t xml:space="preserve"> more </w:t>
      </w:r>
      <w:r w:rsidR="00101B7D" w:rsidRPr="00B667C4">
        <w:rPr>
          <w:rFonts w:asciiTheme="minorHAnsi" w:hAnsiTheme="minorHAnsi" w:cstheme="minorHAnsi"/>
          <w:color w:val="000000" w:themeColor="text1"/>
          <w:sz w:val="22"/>
        </w:rPr>
        <w:t xml:space="preserve">detailed </w:t>
      </w:r>
      <w:r w:rsidRPr="00B667C4">
        <w:rPr>
          <w:rFonts w:asciiTheme="minorHAnsi" w:hAnsiTheme="minorHAnsi" w:cstheme="minorHAnsi"/>
          <w:color w:val="000000" w:themeColor="text1"/>
          <w:sz w:val="22"/>
        </w:rPr>
        <w:t xml:space="preserve">information on regulatory regimes and institutions, </w:t>
      </w:r>
      <w:r w:rsidR="00101B7D" w:rsidRPr="00B667C4">
        <w:rPr>
          <w:rFonts w:asciiTheme="minorHAnsi" w:hAnsiTheme="minorHAnsi" w:cstheme="minorHAnsi"/>
          <w:color w:val="000000" w:themeColor="text1"/>
          <w:sz w:val="22"/>
        </w:rPr>
        <w:t xml:space="preserve">both </w:t>
      </w:r>
      <w:r w:rsidRPr="00B667C4">
        <w:rPr>
          <w:rFonts w:asciiTheme="minorHAnsi" w:hAnsiTheme="minorHAnsi" w:cstheme="minorHAnsi"/>
          <w:color w:val="000000" w:themeColor="text1"/>
          <w:sz w:val="22"/>
        </w:rPr>
        <w:t xml:space="preserve">those that impact across sectors – such as the efficiency of the judiciary or </w:t>
      </w:r>
      <w:r w:rsidR="00101B7D" w:rsidRPr="00B667C4">
        <w:rPr>
          <w:rFonts w:asciiTheme="minorHAnsi" w:hAnsiTheme="minorHAnsi" w:cstheme="minorHAnsi"/>
          <w:color w:val="000000" w:themeColor="text1"/>
          <w:sz w:val="22"/>
        </w:rPr>
        <w:t xml:space="preserve">competition policy – and those that are </w:t>
      </w:r>
      <w:r w:rsidRPr="00B667C4">
        <w:rPr>
          <w:rFonts w:asciiTheme="minorHAnsi" w:hAnsiTheme="minorHAnsi" w:cstheme="minorHAnsi"/>
          <w:color w:val="000000" w:themeColor="text1"/>
          <w:sz w:val="22"/>
        </w:rPr>
        <w:t>sector-specific</w:t>
      </w:r>
      <w:r w:rsidR="00311013" w:rsidRPr="00B667C4">
        <w:rPr>
          <w:rFonts w:asciiTheme="minorHAnsi" w:hAnsiTheme="minorHAnsi" w:cstheme="minorHAnsi"/>
          <w:color w:val="000000" w:themeColor="text1"/>
          <w:sz w:val="22"/>
        </w:rPr>
        <w:t xml:space="preserve">. This </w:t>
      </w:r>
      <w:r w:rsidR="00101B7D" w:rsidRPr="00B667C4">
        <w:rPr>
          <w:rFonts w:asciiTheme="minorHAnsi" w:hAnsiTheme="minorHAnsi" w:cstheme="minorHAnsi"/>
          <w:color w:val="000000" w:themeColor="text1"/>
          <w:sz w:val="22"/>
        </w:rPr>
        <w:t xml:space="preserve">is particularly needed to assess progress in realization of regional integration, as that agenda revolves in </w:t>
      </w:r>
      <w:r w:rsidR="00733B67" w:rsidRPr="00B667C4">
        <w:rPr>
          <w:rFonts w:asciiTheme="minorHAnsi" w:hAnsiTheme="minorHAnsi" w:cstheme="minorHAnsi"/>
          <w:color w:val="000000" w:themeColor="text1"/>
          <w:sz w:val="22"/>
        </w:rPr>
        <w:t xml:space="preserve">large </w:t>
      </w:r>
      <w:r w:rsidR="00101B7D" w:rsidRPr="00B667C4">
        <w:rPr>
          <w:rFonts w:asciiTheme="minorHAnsi" w:hAnsiTheme="minorHAnsi" w:cstheme="minorHAnsi"/>
          <w:color w:val="000000" w:themeColor="text1"/>
          <w:sz w:val="22"/>
        </w:rPr>
        <w:t xml:space="preserve">part around reducing the effects of differences in regulatory regimes. To </w:t>
      </w:r>
      <w:r w:rsidR="008F5528" w:rsidRPr="00B667C4">
        <w:rPr>
          <w:rFonts w:asciiTheme="minorHAnsi" w:hAnsiTheme="minorHAnsi" w:cstheme="minorHAnsi"/>
          <w:color w:val="000000" w:themeColor="text1"/>
          <w:sz w:val="22"/>
        </w:rPr>
        <w:t xml:space="preserve">better understand how policies (and differences in policies across countries) </w:t>
      </w:r>
      <w:r w:rsidR="00101B7D" w:rsidRPr="00B667C4">
        <w:rPr>
          <w:rFonts w:asciiTheme="minorHAnsi" w:hAnsiTheme="minorHAnsi" w:cstheme="minorHAnsi"/>
          <w:color w:val="000000" w:themeColor="text1"/>
          <w:sz w:val="22"/>
        </w:rPr>
        <w:t>impact on trade costs and/or the ability of firms to provide services in foreign markets</w:t>
      </w:r>
      <w:r w:rsidR="00733B67" w:rsidRPr="00B667C4">
        <w:rPr>
          <w:rFonts w:asciiTheme="minorHAnsi" w:hAnsiTheme="minorHAnsi" w:cstheme="minorHAnsi"/>
          <w:color w:val="000000" w:themeColor="text1"/>
          <w:sz w:val="22"/>
        </w:rPr>
        <w:t>,</w:t>
      </w:r>
      <w:r w:rsidR="00101B7D" w:rsidRPr="00B667C4">
        <w:rPr>
          <w:rFonts w:asciiTheme="minorHAnsi" w:hAnsiTheme="minorHAnsi" w:cstheme="minorHAnsi"/>
          <w:color w:val="000000" w:themeColor="text1"/>
          <w:sz w:val="22"/>
        </w:rPr>
        <w:t xml:space="preserve"> </w:t>
      </w:r>
      <w:r w:rsidR="008F5528" w:rsidRPr="00B667C4">
        <w:rPr>
          <w:rFonts w:asciiTheme="minorHAnsi" w:hAnsiTheme="minorHAnsi" w:cstheme="minorHAnsi"/>
          <w:color w:val="000000" w:themeColor="text1"/>
          <w:sz w:val="22"/>
        </w:rPr>
        <w:t xml:space="preserve">more detailed information on </w:t>
      </w:r>
      <w:r w:rsidR="00101B7D" w:rsidRPr="00B667C4">
        <w:rPr>
          <w:rFonts w:asciiTheme="minorHAnsi" w:hAnsiTheme="minorHAnsi" w:cstheme="minorHAnsi"/>
          <w:color w:val="000000" w:themeColor="text1"/>
          <w:sz w:val="22"/>
        </w:rPr>
        <w:t xml:space="preserve">regulatory </w:t>
      </w:r>
      <w:r w:rsidR="008F5528" w:rsidRPr="00B667C4">
        <w:rPr>
          <w:rFonts w:asciiTheme="minorHAnsi" w:hAnsiTheme="minorHAnsi" w:cstheme="minorHAnsi"/>
          <w:color w:val="000000" w:themeColor="text1"/>
          <w:sz w:val="22"/>
        </w:rPr>
        <w:t xml:space="preserve">policies, </w:t>
      </w:r>
      <w:r w:rsidR="00101B7D" w:rsidRPr="00B667C4">
        <w:rPr>
          <w:rFonts w:asciiTheme="minorHAnsi" w:hAnsiTheme="minorHAnsi" w:cstheme="minorHAnsi"/>
          <w:color w:val="000000" w:themeColor="text1"/>
          <w:sz w:val="22"/>
        </w:rPr>
        <w:t>processes and institutions</w:t>
      </w:r>
      <w:r w:rsidR="00455966" w:rsidRPr="00B667C4">
        <w:rPr>
          <w:rFonts w:asciiTheme="minorHAnsi" w:hAnsiTheme="minorHAnsi" w:cstheme="minorHAnsi"/>
          <w:color w:val="000000" w:themeColor="text1"/>
          <w:sz w:val="22"/>
        </w:rPr>
        <w:t xml:space="preserve"> is needed</w:t>
      </w:r>
      <w:r w:rsidR="00101B7D" w:rsidRPr="00B667C4">
        <w:rPr>
          <w:rFonts w:asciiTheme="minorHAnsi" w:hAnsiTheme="minorHAnsi" w:cstheme="minorHAnsi"/>
          <w:color w:val="000000" w:themeColor="text1"/>
          <w:sz w:val="22"/>
        </w:rPr>
        <w:t xml:space="preserve">. </w:t>
      </w:r>
      <w:r w:rsidR="00902435" w:rsidRPr="00B667C4">
        <w:rPr>
          <w:rFonts w:asciiTheme="minorHAnsi" w:hAnsiTheme="minorHAnsi" w:cstheme="minorHAnsi"/>
          <w:color w:val="000000" w:themeColor="text1"/>
          <w:sz w:val="22"/>
        </w:rPr>
        <w:t xml:space="preserve">Such data will help to improve our understanding of how the effects of services trade policies </w:t>
      </w:r>
      <w:bookmarkStart w:id="3" w:name="_Ref455047370"/>
      <w:r w:rsidR="00902435" w:rsidRPr="00B667C4">
        <w:rPr>
          <w:rFonts w:asciiTheme="minorHAnsi" w:hAnsiTheme="minorHAnsi" w:cstheme="minorHAnsi"/>
          <w:color w:val="000000" w:themeColor="text1"/>
          <w:sz w:val="22"/>
        </w:rPr>
        <w:t>vary with the quality of country-level economic governance and services sector-specific regulat</w:t>
      </w:r>
      <w:r w:rsidR="00733B67" w:rsidRPr="00B667C4">
        <w:rPr>
          <w:rFonts w:asciiTheme="minorHAnsi" w:hAnsiTheme="minorHAnsi" w:cstheme="minorHAnsi"/>
          <w:color w:val="000000" w:themeColor="text1"/>
          <w:sz w:val="22"/>
        </w:rPr>
        <w:t>ion a</w:t>
      </w:r>
      <w:r w:rsidR="00902435" w:rsidRPr="00B667C4">
        <w:rPr>
          <w:rFonts w:asciiTheme="minorHAnsi" w:hAnsiTheme="minorHAnsi" w:cstheme="minorHAnsi"/>
          <w:color w:val="000000" w:themeColor="text1"/>
          <w:sz w:val="22"/>
        </w:rPr>
        <w:t xml:space="preserve">nd </w:t>
      </w:r>
      <w:bookmarkEnd w:id="3"/>
      <w:r w:rsidR="00902435" w:rsidRPr="00B667C4">
        <w:rPr>
          <w:rFonts w:asciiTheme="minorHAnsi" w:hAnsiTheme="minorHAnsi" w:cstheme="minorHAnsi"/>
          <w:color w:val="000000" w:themeColor="text1"/>
          <w:sz w:val="22"/>
        </w:rPr>
        <w:t>the relationship between trade policies for goods and trade policies for services.</w:t>
      </w:r>
      <w:bookmarkStart w:id="4" w:name="_Ref455224845"/>
      <w:r w:rsidR="00902435" w:rsidRPr="00B667C4">
        <w:rPr>
          <w:rFonts w:asciiTheme="minorHAnsi" w:hAnsiTheme="minorHAnsi" w:cstheme="minorHAnsi"/>
          <w:color w:val="000000" w:themeColor="text1"/>
          <w:sz w:val="22"/>
        </w:rPr>
        <w:t xml:space="preserve"> </w:t>
      </w:r>
      <w:bookmarkEnd w:id="4"/>
      <w:r w:rsidR="00455966" w:rsidRPr="00B667C4">
        <w:rPr>
          <w:rFonts w:asciiTheme="minorHAnsi" w:hAnsiTheme="minorHAnsi" w:cstheme="minorHAnsi"/>
          <w:color w:val="000000" w:themeColor="text1"/>
          <w:sz w:val="22"/>
        </w:rPr>
        <w:t xml:space="preserve">Better </w:t>
      </w:r>
      <w:r w:rsidR="00733B67" w:rsidRPr="00B667C4">
        <w:rPr>
          <w:rFonts w:asciiTheme="minorHAnsi" w:hAnsiTheme="minorHAnsi" w:cstheme="minorHAnsi"/>
          <w:color w:val="000000" w:themeColor="text1"/>
          <w:sz w:val="22"/>
        </w:rPr>
        <w:t>knowledge of</w:t>
      </w:r>
      <w:r w:rsidR="00455966" w:rsidRPr="00B667C4">
        <w:rPr>
          <w:rFonts w:asciiTheme="minorHAnsi" w:hAnsiTheme="minorHAnsi" w:cstheme="minorHAnsi"/>
          <w:color w:val="000000" w:themeColor="text1"/>
          <w:sz w:val="22"/>
        </w:rPr>
        <w:t xml:space="preserve"> how services trade policies and governance impact on firm and industry performance will also permit a better understanding </w:t>
      </w:r>
      <w:r w:rsidR="00733B67" w:rsidRPr="00B667C4">
        <w:rPr>
          <w:rFonts w:asciiTheme="minorHAnsi" w:hAnsiTheme="minorHAnsi" w:cstheme="minorHAnsi"/>
          <w:color w:val="000000" w:themeColor="text1"/>
          <w:sz w:val="22"/>
        </w:rPr>
        <w:t xml:space="preserve">of </w:t>
      </w:r>
      <w:r w:rsidR="00455966" w:rsidRPr="00B667C4">
        <w:rPr>
          <w:rFonts w:asciiTheme="minorHAnsi" w:hAnsiTheme="minorHAnsi" w:cstheme="minorHAnsi"/>
          <w:color w:val="000000" w:themeColor="text1"/>
          <w:sz w:val="22"/>
        </w:rPr>
        <w:t>whether and how best to embed commitments on specific policy areas in</w:t>
      </w:r>
      <w:r w:rsidR="00733B67" w:rsidRPr="00B667C4">
        <w:rPr>
          <w:rFonts w:asciiTheme="minorHAnsi" w:hAnsiTheme="minorHAnsi" w:cstheme="minorHAnsi"/>
          <w:color w:val="000000" w:themeColor="text1"/>
          <w:sz w:val="22"/>
        </w:rPr>
        <w:t>to</w:t>
      </w:r>
      <w:r w:rsidR="00455966" w:rsidRPr="00B667C4">
        <w:rPr>
          <w:rFonts w:asciiTheme="minorHAnsi" w:hAnsiTheme="minorHAnsi" w:cstheme="minorHAnsi"/>
          <w:color w:val="000000" w:themeColor="text1"/>
          <w:sz w:val="22"/>
        </w:rPr>
        <w:t xml:space="preserve"> trade agreements</w:t>
      </w:r>
      <w:r w:rsidR="00733B67" w:rsidRPr="00B667C4">
        <w:rPr>
          <w:rFonts w:asciiTheme="minorHAnsi" w:hAnsiTheme="minorHAnsi" w:cstheme="minorHAnsi"/>
          <w:color w:val="000000" w:themeColor="text1"/>
          <w:sz w:val="22"/>
        </w:rPr>
        <w:t xml:space="preserve"> like the CFTA</w:t>
      </w:r>
      <w:r w:rsidR="00455966" w:rsidRPr="00B667C4">
        <w:rPr>
          <w:rFonts w:asciiTheme="minorHAnsi" w:hAnsiTheme="minorHAnsi" w:cstheme="minorHAnsi"/>
          <w:color w:val="000000" w:themeColor="text1"/>
          <w:sz w:val="22"/>
        </w:rPr>
        <w:t>.</w:t>
      </w:r>
    </w:p>
    <w:p w14:paraId="3772CBE0" w14:textId="25F37376" w:rsidR="00311013" w:rsidRPr="00B667C4" w:rsidRDefault="00455966" w:rsidP="00733B67">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Here again progress has already been made</w:t>
      </w:r>
      <w:r w:rsidR="0085284D" w:rsidRPr="00B667C4">
        <w:rPr>
          <w:rFonts w:asciiTheme="minorHAnsi" w:hAnsiTheme="minorHAnsi" w:cstheme="minorHAnsi"/>
          <w:color w:val="000000" w:themeColor="text1"/>
          <w:sz w:val="22"/>
        </w:rPr>
        <w:t xml:space="preserve"> that can be built upon</w:t>
      </w:r>
      <w:r w:rsidRPr="00B667C4">
        <w:rPr>
          <w:rFonts w:asciiTheme="minorHAnsi" w:hAnsiTheme="minorHAnsi" w:cstheme="minorHAnsi"/>
          <w:color w:val="000000" w:themeColor="text1"/>
          <w:sz w:val="22"/>
        </w:rPr>
        <w:t xml:space="preserve">. An example is </w:t>
      </w:r>
      <w:r w:rsidR="0085284D" w:rsidRPr="00B667C4">
        <w:rPr>
          <w:rFonts w:asciiTheme="minorHAnsi" w:hAnsiTheme="minorHAnsi" w:cstheme="minorHAnsi"/>
          <w:color w:val="000000" w:themeColor="text1"/>
          <w:sz w:val="22"/>
        </w:rPr>
        <w:t xml:space="preserve">the effort by the OECD to characterize the constituent elements of the TFA into indicators that can be monitored over time and used for empirical analysis. In the African context a noteworthy initiative is </w:t>
      </w:r>
      <w:r w:rsidRPr="00B667C4">
        <w:rPr>
          <w:rFonts w:asciiTheme="minorHAnsi" w:hAnsiTheme="minorHAnsi" w:cstheme="minorHAnsi"/>
          <w:color w:val="000000" w:themeColor="text1"/>
          <w:sz w:val="22"/>
        </w:rPr>
        <w:t xml:space="preserve">the </w:t>
      </w:r>
      <w:r w:rsidR="0076757E">
        <w:rPr>
          <w:rFonts w:asciiTheme="minorHAnsi" w:hAnsiTheme="minorHAnsi" w:cstheme="minorHAnsi"/>
          <w:color w:val="000000" w:themeColor="text1"/>
          <w:sz w:val="22"/>
        </w:rPr>
        <w:t xml:space="preserve">bi-annual </w:t>
      </w:r>
      <w:r w:rsidRPr="00B667C4">
        <w:rPr>
          <w:rFonts w:asciiTheme="minorHAnsi" w:hAnsiTheme="minorHAnsi" w:cstheme="minorHAnsi"/>
          <w:color w:val="000000" w:themeColor="text1"/>
          <w:sz w:val="22"/>
        </w:rPr>
        <w:t>East African Common Market Scorecard report (</w:t>
      </w:r>
      <w:r w:rsidR="001D4337">
        <w:rPr>
          <w:rFonts w:asciiTheme="minorHAnsi" w:hAnsiTheme="minorHAnsi" w:cstheme="minorHAnsi"/>
          <w:color w:val="000000" w:themeColor="text1"/>
          <w:sz w:val="22"/>
        </w:rPr>
        <w:t>World Bank and EAC Secretariat, 2016)</w:t>
      </w:r>
      <w:r w:rsidRPr="00B667C4">
        <w:rPr>
          <w:rFonts w:asciiTheme="minorHAnsi" w:hAnsiTheme="minorHAnsi" w:cstheme="minorHAnsi"/>
          <w:color w:val="000000" w:themeColor="text1"/>
          <w:sz w:val="22"/>
        </w:rPr>
        <w:t xml:space="preserve"> which contains information on the extent to which prevailing laws and regulations </w:t>
      </w:r>
      <w:r w:rsidR="00733B67" w:rsidRPr="00B667C4">
        <w:rPr>
          <w:rFonts w:asciiTheme="minorHAnsi" w:hAnsiTheme="minorHAnsi" w:cstheme="minorHAnsi"/>
          <w:color w:val="000000" w:themeColor="text1"/>
          <w:sz w:val="22"/>
        </w:rPr>
        <w:t xml:space="preserve">discriminate against </w:t>
      </w:r>
      <w:r w:rsidRPr="00B667C4">
        <w:rPr>
          <w:rFonts w:asciiTheme="minorHAnsi" w:hAnsiTheme="minorHAnsi" w:cstheme="minorHAnsi"/>
          <w:color w:val="000000" w:themeColor="text1"/>
          <w:sz w:val="22"/>
        </w:rPr>
        <w:t xml:space="preserve">foreign providers </w:t>
      </w:r>
      <w:r w:rsidR="00733B67" w:rsidRPr="00B667C4">
        <w:rPr>
          <w:rFonts w:asciiTheme="minorHAnsi" w:hAnsiTheme="minorHAnsi" w:cstheme="minorHAnsi"/>
          <w:color w:val="000000" w:themeColor="text1"/>
          <w:sz w:val="22"/>
        </w:rPr>
        <w:t xml:space="preserve">seeking to </w:t>
      </w:r>
      <w:r w:rsidRPr="00B667C4">
        <w:rPr>
          <w:rFonts w:asciiTheme="minorHAnsi" w:hAnsiTheme="minorHAnsi" w:cstheme="minorHAnsi"/>
          <w:color w:val="000000" w:themeColor="text1"/>
          <w:sz w:val="22"/>
        </w:rPr>
        <w:t>operat</w:t>
      </w:r>
      <w:r w:rsidR="00733B67" w:rsidRPr="00B667C4">
        <w:rPr>
          <w:rFonts w:asciiTheme="minorHAnsi" w:hAnsiTheme="minorHAnsi" w:cstheme="minorHAnsi"/>
          <w:color w:val="000000" w:themeColor="text1"/>
          <w:sz w:val="22"/>
        </w:rPr>
        <w:t>e</w:t>
      </w:r>
      <w:r w:rsidRPr="00B667C4">
        <w:rPr>
          <w:rFonts w:asciiTheme="minorHAnsi" w:hAnsiTheme="minorHAnsi" w:cstheme="minorHAnsi"/>
          <w:color w:val="000000" w:themeColor="text1"/>
          <w:sz w:val="22"/>
        </w:rPr>
        <w:t xml:space="preserve"> in each EAC member state. The report provides detailed documentation allowing assessment of the consistency of prevailing legislation and regulations with the commitments that countries have made as EAC members. </w:t>
      </w:r>
      <w:r w:rsidR="00733B67" w:rsidRPr="00B667C4">
        <w:rPr>
          <w:rFonts w:asciiTheme="minorHAnsi" w:hAnsiTheme="minorHAnsi" w:cstheme="minorHAnsi"/>
          <w:color w:val="000000" w:themeColor="text1"/>
          <w:sz w:val="22"/>
        </w:rPr>
        <w:t>A similar effort could be undertaken for other R</w:t>
      </w:r>
      <w:r w:rsidR="00EF107A" w:rsidRPr="00B667C4">
        <w:rPr>
          <w:rFonts w:asciiTheme="minorHAnsi" w:hAnsiTheme="minorHAnsi" w:cstheme="minorHAnsi"/>
          <w:color w:val="000000" w:themeColor="text1"/>
          <w:sz w:val="22"/>
        </w:rPr>
        <w:t xml:space="preserve">ECs and the CFTA. </w:t>
      </w:r>
      <w:r w:rsidR="00311013" w:rsidRPr="00B667C4">
        <w:rPr>
          <w:rFonts w:asciiTheme="minorHAnsi" w:hAnsiTheme="minorHAnsi" w:cstheme="minorHAnsi"/>
          <w:color w:val="000000" w:themeColor="text1"/>
          <w:sz w:val="22"/>
        </w:rPr>
        <w:t>The findings of Beverelli, Fiorini and Hoekman (2016) point to the importance of governance quality as a determinant of the effects of services trade policy – and thus potential trade reforms. But we do not know to what extent the country-level governance variables reflect sector-specific policies</w:t>
      </w:r>
      <w:r w:rsidR="008F5528" w:rsidRPr="00B667C4">
        <w:rPr>
          <w:rFonts w:asciiTheme="minorHAnsi" w:hAnsiTheme="minorHAnsi" w:cstheme="minorHAnsi"/>
          <w:color w:val="000000" w:themeColor="text1"/>
          <w:sz w:val="22"/>
        </w:rPr>
        <w:t>.</w:t>
      </w:r>
      <w:r w:rsidR="00311013" w:rsidRPr="00B667C4">
        <w:rPr>
          <w:rFonts w:asciiTheme="minorHAnsi" w:hAnsiTheme="minorHAnsi" w:cstheme="minorHAnsi"/>
          <w:color w:val="000000" w:themeColor="text1"/>
          <w:sz w:val="22"/>
        </w:rPr>
        <w:t xml:space="preserve"> Dealing with corruption or enhancing the rule of law clearly </w:t>
      </w:r>
      <w:r w:rsidR="0085284D" w:rsidRPr="00B667C4">
        <w:rPr>
          <w:rFonts w:asciiTheme="minorHAnsi" w:hAnsiTheme="minorHAnsi" w:cstheme="minorHAnsi"/>
          <w:color w:val="000000" w:themeColor="text1"/>
          <w:sz w:val="22"/>
        </w:rPr>
        <w:t xml:space="preserve">is </w:t>
      </w:r>
      <w:r w:rsidR="00311013" w:rsidRPr="00B667C4">
        <w:rPr>
          <w:rFonts w:asciiTheme="minorHAnsi" w:hAnsiTheme="minorHAnsi" w:cstheme="minorHAnsi"/>
          <w:color w:val="000000" w:themeColor="text1"/>
          <w:sz w:val="22"/>
        </w:rPr>
        <w:t>important</w:t>
      </w:r>
      <w:r w:rsidR="0085284D" w:rsidRPr="00B667C4">
        <w:rPr>
          <w:rFonts w:asciiTheme="minorHAnsi" w:hAnsiTheme="minorHAnsi" w:cstheme="minorHAnsi"/>
          <w:color w:val="000000" w:themeColor="text1"/>
          <w:sz w:val="22"/>
        </w:rPr>
        <w:t xml:space="preserve"> but fr</w:t>
      </w:r>
      <w:r w:rsidR="00311013" w:rsidRPr="00B667C4">
        <w:rPr>
          <w:rFonts w:asciiTheme="minorHAnsi" w:hAnsiTheme="minorHAnsi" w:cstheme="minorHAnsi"/>
          <w:color w:val="000000" w:themeColor="text1"/>
          <w:sz w:val="22"/>
        </w:rPr>
        <w:t xml:space="preserve">om the perspective of the design of trade integration efforts such as the CFTA and sub-regional arrangements such as the EAC, ECOWAS, etc. it </w:t>
      </w:r>
      <w:r w:rsidR="0085284D" w:rsidRPr="00B667C4">
        <w:rPr>
          <w:rFonts w:asciiTheme="minorHAnsi" w:hAnsiTheme="minorHAnsi" w:cstheme="minorHAnsi"/>
          <w:color w:val="000000" w:themeColor="text1"/>
          <w:sz w:val="22"/>
        </w:rPr>
        <w:t xml:space="preserve">is necessary </w:t>
      </w:r>
      <w:r w:rsidR="00311013" w:rsidRPr="00B667C4">
        <w:rPr>
          <w:rFonts w:asciiTheme="minorHAnsi" w:hAnsiTheme="minorHAnsi" w:cstheme="minorHAnsi"/>
          <w:color w:val="000000" w:themeColor="text1"/>
          <w:sz w:val="22"/>
        </w:rPr>
        <w:t xml:space="preserve">to know if </w:t>
      </w:r>
      <w:r w:rsidR="0085284D" w:rsidRPr="00B667C4">
        <w:rPr>
          <w:rFonts w:asciiTheme="minorHAnsi" w:hAnsiTheme="minorHAnsi" w:cstheme="minorHAnsi"/>
          <w:color w:val="000000" w:themeColor="text1"/>
          <w:sz w:val="22"/>
        </w:rPr>
        <w:t xml:space="preserve">and how </w:t>
      </w:r>
      <w:r w:rsidR="00311013" w:rsidRPr="00B667C4">
        <w:rPr>
          <w:rFonts w:asciiTheme="minorHAnsi" w:hAnsiTheme="minorHAnsi" w:cstheme="minorHAnsi"/>
          <w:color w:val="000000" w:themeColor="text1"/>
          <w:sz w:val="22"/>
        </w:rPr>
        <w:t xml:space="preserve">specific sectoral policies </w:t>
      </w:r>
      <w:r w:rsidR="0085284D" w:rsidRPr="00B667C4">
        <w:rPr>
          <w:rFonts w:asciiTheme="minorHAnsi" w:hAnsiTheme="minorHAnsi" w:cstheme="minorHAnsi"/>
          <w:color w:val="000000" w:themeColor="text1"/>
          <w:sz w:val="22"/>
        </w:rPr>
        <w:t>interact with trade policies or customs/border clearance procedures</w:t>
      </w:r>
      <w:r w:rsidR="00311013" w:rsidRPr="00B667C4">
        <w:rPr>
          <w:rFonts w:asciiTheme="minorHAnsi" w:hAnsiTheme="minorHAnsi" w:cstheme="minorHAnsi"/>
          <w:color w:val="000000" w:themeColor="text1"/>
          <w:sz w:val="22"/>
        </w:rPr>
        <w:t>.</w:t>
      </w:r>
      <w:r w:rsidR="00733B67" w:rsidRPr="00B667C4">
        <w:rPr>
          <w:rFonts w:asciiTheme="minorHAnsi" w:hAnsiTheme="minorHAnsi" w:cstheme="minorHAnsi"/>
          <w:color w:val="000000" w:themeColor="text1"/>
          <w:sz w:val="22"/>
        </w:rPr>
        <w:t xml:space="preserve"> The types of scorecard report prepared for the EAC can be used to construct policy indicators and 'unpack' how different dimensions of the business environment and economic governance variables impact on economic performance.</w:t>
      </w:r>
    </w:p>
    <w:p w14:paraId="14F1825D" w14:textId="77777777" w:rsidR="00D139AE" w:rsidRPr="00B667C4" w:rsidRDefault="00D139AE"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 xml:space="preserve">Monitoring and evaluation of trade facilitation initiatives and projects is perhaps one of the most obvious areas for additional research. Important lessons can be learned from the experience since the launch of the Aid for Trade. </w:t>
      </w:r>
      <w:r w:rsidRPr="00B667C4">
        <w:rPr>
          <w:rFonts w:asciiTheme="minorHAnsi" w:hAnsiTheme="minorHAnsi" w:cstheme="minorHAnsi"/>
          <w:sz w:val="22"/>
        </w:rPr>
        <w:t>Available papers on Africa (e.g., Njinkeu et al. 2008) are limited in terms of methodologies and data used. Models used in these studies could be amended to quantify</w:t>
      </w:r>
      <w:r w:rsidRPr="00B667C4">
        <w:rPr>
          <w:rFonts w:asciiTheme="minorHAnsi" w:eastAsia="Times New Roman" w:hAnsiTheme="minorHAnsi" w:cstheme="minorHAnsi"/>
          <w:sz w:val="22"/>
        </w:rPr>
        <w:t xml:space="preserve"> the potential economic cost and benefits of specific policy measures and reforms. Such research could build from the review undertaken by Basnett and Massa (2015). </w:t>
      </w:r>
      <w:r w:rsidRPr="00B667C4">
        <w:rPr>
          <w:rFonts w:asciiTheme="minorHAnsi" w:hAnsiTheme="minorHAnsi" w:cstheme="minorHAnsi"/>
          <w:color w:val="000000" w:themeColor="text1"/>
          <w:sz w:val="22"/>
        </w:rPr>
        <w:t>However, in many cases baseline performance data is not available, precluding standard evaluation techniques. However, detailed political economy case study assessments can be undertaken for specific trade facilitation areas such as customs valuation, risk assessment, Authorized Economic Operator schemes, the use of information technology, or reforms of the national quality infrastructure. Case studies that identify and map the interests, motivations, incentives and pressures and power relationships of all the actors will be essential for trade facilitation to lead to sustainable improvement in trade facilitation performances.</w:t>
      </w:r>
    </w:p>
    <w:p w14:paraId="06F385AC" w14:textId="1051681D" w:rsidR="00255182" w:rsidRPr="00B667C4" w:rsidRDefault="00D4010E" w:rsidP="00EF107A">
      <w:pPr>
        <w:spacing w:after="120" w:line="276" w:lineRule="auto"/>
        <w:rPr>
          <w:rFonts w:asciiTheme="minorHAnsi" w:hAnsiTheme="minorHAnsi" w:cstheme="minorHAnsi"/>
          <w:sz w:val="22"/>
        </w:rPr>
      </w:pPr>
      <w:r w:rsidRPr="00B667C4">
        <w:rPr>
          <w:rFonts w:asciiTheme="minorHAnsi" w:hAnsiTheme="minorHAnsi" w:cstheme="minorHAnsi"/>
          <w:sz w:val="22"/>
        </w:rPr>
        <w:t>T</w:t>
      </w:r>
      <w:r w:rsidR="000B30F4" w:rsidRPr="00B667C4">
        <w:rPr>
          <w:rFonts w:asciiTheme="minorHAnsi" w:hAnsiTheme="minorHAnsi" w:cstheme="minorHAnsi"/>
          <w:sz w:val="22"/>
        </w:rPr>
        <w:t xml:space="preserve">rade facilitation </w:t>
      </w:r>
      <w:r w:rsidR="00D139AE" w:rsidRPr="00B667C4">
        <w:rPr>
          <w:rFonts w:asciiTheme="minorHAnsi" w:hAnsiTheme="minorHAnsi" w:cstheme="minorHAnsi"/>
          <w:sz w:val="22"/>
        </w:rPr>
        <w:t xml:space="preserve">and more general </w:t>
      </w:r>
      <w:r w:rsidR="00EF107A" w:rsidRPr="00B667C4">
        <w:rPr>
          <w:rFonts w:asciiTheme="minorHAnsi" w:hAnsiTheme="minorHAnsi" w:cstheme="minorHAnsi"/>
          <w:sz w:val="22"/>
        </w:rPr>
        <w:t xml:space="preserve">regional </w:t>
      </w:r>
      <w:r w:rsidR="00D139AE" w:rsidRPr="00B667C4">
        <w:rPr>
          <w:rFonts w:asciiTheme="minorHAnsi" w:hAnsiTheme="minorHAnsi" w:cstheme="minorHAnsi"/>
          <w:sz w:val="22"/>
        </w:rPr>
        <w:t xml:space="preserve">market integration </w:t>
      </w:r>
      <w:r w:rsidR="000B30F4" w:rsidRPr="00B667C4">
        <w:rPr>
          <w:rFonts w:asciiTheme="minorHAnsi" w:hAnsiTheme="minorHAnsi" w:cstheme="minorHAnsi"/>
          <w:sz w:val="22"/>
        </w:rPr>
        <w:t>efforts are most likely to be successful when clear leadership emerges in government</w:t>
      </w:r>
      <w:r w:rsidR="00D139AE" w:rsidRPr="00B667C4">
        <w:rPr>
          <w:rFonts w:asciiTheme="minorHAnsi" w:hAnsiTheme="minorHAnsi" w:cstheme="minorHAnsi"/>
          <w:sz w:val="22"/>
        </w:rPr>
        <w:t xml:space="preserve">, </w:t>
      </w:r>
      <w:r w:rsidR="000B30F4" w:rsidRPr="00B667C4">
        <w:rPr>
          <w:rFonts w:asciiTheme="minorHAnsi" w:hAnsiTheme="minorHAnsi" w:cstheme="minorHAnsi"/>
          <w:sz w:val="22"/>
        </w:rPr>
        <w:t>effective mechanisms exi</w:t>
      </w:r>
      <w:r w:rsidR="00255182" w:rsidRPr="00B667C4">
        <w:rPr>
          <w:rFonts w:asciiTheme="minorHAnsi" w:hAnsiTheme="minorHAnsi" w:cstheme="minorHAnsi"/>
          <w:sz w:val="22"/>
        </w:rPr>
        <w:t>s</w:t>
      </w:r>
      <w:r w:rsidR="000B30F4" w:rsidRPr="00B667C4">
        <w:rPr>
          <w:rFonts w:asciiTheme="minorHAnsi" w:hAnsiTheme="minorHAnsi" w:cstheme="minorHAnsi"/>
          <w:sz w:val="22"/>
        </w:rPr>
        <w:t>t for the private</w:t>
      </w:r>
      <w:r w:rsidR="00255182" w:rsidRPr="00B667C4">
        <w:rPr>
          <w:rFonts w:asciiTheme="minorHAnsi" w:hAnsiTheme="minorHAnsi" w:cstheme="minorHAnsi"/>
          <w:sz w:val="22"/>
        </w:rPr>
        <w:t xml:space="preserve"> sector</w:t>
      </w:r>
      <w:r w:rsidR="000B30F4" w:rsidRPr="00B667C4">
        <w:rPr>
          <w:rFonts w:asciiTheme="minorHAnsi" w:hAnsiTheme="minorHAnsi" w:cstheme="minorHAnsi"/>
          <w:sz w:val="22"/>
        </w:rPr>
        <w:t xml:space="preserve"> to play a lead role</w:t>
      </w:r>
      <w:r w:rsidR="00D139AE" w:rsidRPr="00B667C4">
        <w:rPr>
          <w:rFonts w:asciiTheme="minorHAnsi" w:hAnsiTheme="minorHAnsi" w:cstheme="minorHAnsi"/>
          <w:sz w:val="22"/>
        </w:rPr>
        <w:t xml:space="preserve">, and </w:t>
      </w:r>
      <w:r w:rsidR="00934C4B" w:rsidRPr="00B667C4">
        <w:rPr>
          <w:rFonts w:asciiTheme="minorHAnsi" w:hAnsiTheme="minorHAnsi" w:cstheme="minorHAnsi"/>
          <w:sz w:val="22"/>
        </w:rPr>
        <w:t>evidence-informed consensus-</w:t>
      </w:r>
      <w:r w:rsidR="000B30F4" w:rsidRPr="00B667C4">
        <w:rPr>
          <w:rFonts w:asciiTheme="minorHAnsi" w:hAnsiTheme="minorHAnsi" w:cstheme="minorHAnsi"/>
          <w:sz w:val="22"/>
        </w:rPr>
        <w:t>building process</w:t>
      </w:r>
      <w:r w:rsidR="003E08AE" w:rsidRPr="00B667C4">
        <w:rPr>
          <w:rFonts w:asciiTheme="minorHAnsi" w:hAnsiTheme="minorHAnsi" w:cstheme="minorHAnsi"/>
          <w:sz w:val="22"/>
        </w:rPr>
        <w:t>es are</w:t>
      </w:r>
      <w:r w:rsidR="000B30F4" w:rsidRPr="00B667C4">
        <w:rPr>
          <w:rFonts w:asciiTheme="minorHAnsi" w:hAnsiTheme="minorHAnsi" w:cstheme="minorHAnsi"/>
          <w:sz w:val="22"/>
        </w:rPr>
        <w:t xml:space="preserve"> put in place to broker dialogue among the various interest groups. </w:t>
      </w:r>
      <w:r w:rsidR="00255182" w:rsidRPr="00B667C4">
        <w:rPr>
          <w:rFonts w:asciiTheme="minorHAnsi" w:hAnsiTheme="minorHAnsi" w:cstheme="minorHAnsi"/>
          <w:sz w:val="22"/>
        </w:rPr>
        <w:t xml:space="preserve">The majority in the public and private sectors is eager to see real improvement; what is needed is to </w:t>
      </w:r>
      <w:r w:rsidR="0084780A" w:rsidRPr="00B667C4">
        <w:rPr>
          <w:rFonts w:asciiTheme="minorHAnsi" w:hAnsiTheme="minorHAnsi" w:cstheme="minorHAnsi"/>
          <w:sz w:val="22"/>
        </w:rPr>
        <w:t xml:space="preserve">establish </w:t>
      </w:r>
      <w:r w:rsidR="00255182" w:rsidRPr="00B667C4">
        <w:rPr>
          <w:rFonts w:asciiTheme="minorHAnsi" w:hAnsiTheme="minorHAnsi" w:cstheme="minorHAnsi"/>
          <w:sz w:val="22"/>
        </w:rPr>
        <w:t>a trade cost reduction platform to help organize and empower pro-reform stakeholders to overcome the vested interests. A framework for peer-to-peer learning among government officials, business and civil society is needed to allow stakeholders from different sectors that are all involved in international supply chain trade to debate and cross-fertilize ideas, concepts and methods and to better understand the consequences of their mode of operation and that of other stakeholders involved in trade. The goal should be to effectively empower stakeholder groups to drive reform actions through peer-pressure and accountability (Hoekman, 2014). Such interactions among stakeholders could build a consensus on the specific issues that should be prioritized for reducing trade costs</w:t>
      </w:r>
      <w:r w:rsidR="003C3709" w:rsidRPr="00B667C4">
        <w:rPr>
          <w:rFonts w:asciiTheme="minorHAnsi" w:hAnsiTheme="minorHAnsi" w:cstheme="minorHAnsi"/>
          <w:sz w:val="22"/>
        </w:rPr>
        <w:t xml:space="preserve"> by providing</w:t>
      </w:r>
      <w:r w:rsidR="00255182" w:rsidRPr="00B667C4">
        <w:rPr>
          <w:rFonts w:asciiTheme="minorHAnsi" w:hAnsiTheme="minorHAnsi" w:cstheme="minorHAnsi"/>
          <w:sz w:val="22"/>
        </w:rPr>
        <w:t xml:space="preserve"> access to i) information on rules and regulations that affect the provision of transport and logistics services and their impact on transport costs, trade and investment; ii) the appropriate design of trade and regulatory reforms and the capacity required for effective implementation; iii) likely outcomes of specific reforms, including overall benefits as well as identification of those who may lose; and, iv)  policy options to address any adverse</w:t>
      </w:r>
      <w:r w:rsidR="00271B5D" w:rsidRPr="00B667C4">
        <w:rPr>
          <w:rFonts w:asciiTheme="minorHAnsi" w:hAnsiTheme="minorHAnsi" w:cstheme="minorHAnsi"/>
          <w:sz w:val="22"/>
        </w:rPr>
        <w:t xml:space="preserve"> distributional consequences.</w:t>
      </w:r>
    </w:p>
    <w:p w14:paraId="0521D4E2" w14:textId="605119A9" w:rsidR="004B662C" w:rsidRPr="00B667C4" w:rsidRDefault="00B512B1"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sz w:val="22"/>
        </w:rPr>
        <w:t xml:space="preserve">In practice, many if not most </w:t>
      </w:r>
      <w:r w:rsidR="00943545" w:rsidRPr="00B667C4">
        <w:rPr>
          <w:rFonts w:asciiTheme="minorHAnsi" w:hAnsiTheme="minorHAnsi" w:cstheme="minorHAnsi"/>
          <w:sz w:val="22"/>
        </w:rPr>
        <w:t xml:space="preserve">regional integration-related </w:t>
      </w:r>
      <w:r w:rsidRPr="00B667C4">
        <w:rPr>
          <w:rFonts w:asciiTheme="minorHAnsi" w:hAnsiTheme="minorHAnsi" w:cstheme="minorHAnsi"/>
          <w:sz w:val="22"/>
        </w:rPr>
        <w:t xml:space="preserve">reform programs focus on one dimension of the problem and primarily address technical aspects. This focus on technical dimensions needs to be complemented with attention to political </w:t>
      </w:r>
      <w:r w:rsidR="0084780A" w:rsidRPr="00B667C4">
        <w:rPr>
          <w:rFonts w:asciiTheme="minorHAnsi" w:hAnsiTheme="minorHAnsi" w:cstheme="minorHAnsi"/>
          <w:sz w:val="22"/>
        </w:rPr>
        <w:t xml:space="preserve">economy </w:t>
      </w:r>
      <w:r w:rsidRPr="00B667C4">
        <w:rPr>
          <w:rFonts w:asciiTheme="minorHAnsi" w:hAnsiTheme="minorHAnsi" w:cstheme="minorHAnsi"/>
          <w:sz w:val="22"/>
        </w:rPr>
        <w:t xml:space="preserve">implications – understanding who benefits and who loses, or who perceives they will benefit or lose. This requires identifying the interests of the different stakeholders, how they are represented, how pro-reform coalitions can be built and strengthened and how anti-reform interests can be accommodated. </w:t>
      </w:r>
      <w:r w:rsidR="000B30F4" w:rsidRPr="00B667C4">
        <w:rPr>
          <w:rFonts w:asciiTheme="minorHAnsi" w:hAnsiTheme="minorHAnsi" w:cstheme="minorHAnsi"/>
          <w:sz w:val="22"/>
        </w:rPr>
        <w:t xml:space="preserve">The organized private sector will play </w:t>
      </w:r>
      <w:r w:rsidR="00440810" w:rsidRPr="00B667C4">
        <w:rPr>
          <w:rFonts w:asciiTheme="minorHAnsi" w:hAnsiTheme="minorHAnsi" w:cstheme="minorHAnsi"/>
          <w:sz w:val="22"/>
        </w:rPr>
        <w:t xml:space="preserve">an </w:t>
      </w:r>
      <w:r w:rsidR="000B30F4" w:rsidRPr="00B667C4">
        <w:rPr>
          <w:rFonts w:asciiTheme="minorHAnsi" w:hAnsiTheme="minorHAnsi" w:cstheme="minorHAnsi"/>
          <w:sz w:val="22"/>
        </w:rPr>
        <w:t xml:space="preserve">effective and proactive role </w:t>
      </w:r>
      <w:r w:rsidR="00440810" w:rsidRPr="00B667C4">
        <w:rPr>
          <w:rFonts w:asciiTheme="minorHAnsi" w:hAnsiTheme="minorHAnsi" w:cstheme="minorHAnsi"/>
          <w:sz w:val="22"/>
        </w:rPr>
        <w:t xml:space="preserve">if and </w:t>
      </w:r>
      <w:r w:rsidR="000B30F4" w:rsidRPr="00B667C4">
        <w:rPr>
          <w:rFonts w:asciiTheme="minorHAnsi" w:hAnsiTheme="minorHAnsi" w:cstheme="minorHAnsi"/>
          <w:sz w:val="22"/>
        </w:rPr>
        <w:t xml:space="preserve">when </w:t>
      </w:r>
      <w:r w:rsidR="00440810" w:rsidRPr="00B667C4">
        <w:rPr>
          <w:rFonts w:asciiTheme="minorHAnsi" w:hAnsiTheme="minorHAnsi" w:cstheme="minorHAnsi"/>
          <w:sz w:val="22"/>
        </w:rPr>
        <w:t xml:space="preserve">they </w:t>
      </w:r>
      <w:r w:rsidR="000B30F4" w:rsidRPr="00B667C4">
        <w:rPr>
          <w:rFonts w:asciiTheme="minorHAnsi" w:hAnsiTheme="minorHAnsi" w:cstheme="minorHAnsi"/>
          <w:sz w:val="22"/>
        </w:rPr>
        <w:t xml:space="preserve">see clear business opportunities. In East Africa, as </w:t>
      </w:r>
      <w:r w:rsidR="000B30F4" w:rsidRPr="00B667C4">
        <w:rPr>
          <w:rFonts w:asciiTheme="minorHAnsi" w:hAnsiTheme="minorHAnsi" w:cstheme="minorHAnsi"/>
          <w:color w:val="000000" w:themeColor="text1"/>
          <w:sz w:val="22"/>
        </w:rPr>
        <w:t>Kenyan firms have increased their investment in other EAC Partner States they have increasingly lobbied their government for implementing the EAC protocols of direct relevance to their sectors. This has been particularly true for</w:t>
      </w:r>
      <w:r w:rsidR="000B30F4" w:rsidRPr="00B667C4">
        <w:rPr>
          <w:rFonts w:asciiTheme="minorHAnsi" w:hAnsiTheme="minorHAnsi" w:cstheme="minorHAnsi"/>
          <w:sz w:val="22"/>
        </w:rPr>
        <w:t xml:space="preserve"> trucking companies that heavily invested and have aggressively lobbied for more competition and improved efficiency. They have generally supported efforts to eliminate restriction to foreign competition in the transport sector. Other </w:t>
      </w:r>
      <w:r w:rsidR="00440810" w:rsidRPr="00B667C4">
        <w:rPr>
          <w:rFonts w:asciiTheme="minorHAnsi" w:hAnsiTheme="minorHAnsi" w:cstheme="minorHAnsi"/>
          <w:sz w:val="22"/>
        </w:rPr>
        <w:t xml:space="preserve">businesses that are more focused on the domestic market </w:t>
      </w:r>
      <w:r w:rsidR="000B30F4" w:rsidRPr="00B667C4">
        <w:rPr>
          <w:rFonts w:asciiTheme="minorHAnsi" w:hAnsiTheme="minorHAnsi" w:cstheme="minorHAnsi"/>
          <w:sz w:val="22"/>
        </w:rPr>
        <w:t xml:space="preserve">have acted in </w:t>
      </w:r>
      <w:r w:rsidR="00440810" w:rsidRPr="00B667C4">
        <w:rPr>
          <w:rFonts w:asciiTheme="minorHAnsi" w:hAnsiTheme="minorHAnsi" w:cstheme="minorHAnsi"/>
          <w:sz w:val="22"/>
        </w:rPr>
        <w:t xml:space="preserve">a </w:t>
      </w:r>
      <w:r w:rsidR="000B30F4" w:rsidRPr="00B667C4">
        <w:rPr>
          <w:rFonts w:asciiTheme="minorHAnsi" w:hAnsiTheme="minorHAnsi" w:cstheme="minorHAnsi"/>
          <w:sz w:val="22"/>
        </w:rPr>
        <w:t>different direction. For example, the Kenya International Freight Forwarders and Warehousing Association and Tanzania Freight Forwarders Association have seen regional integration in the transport sector as a threat to their business</w:t>
      </w:r>
      <w:r w:rsidR="008D78EA" w:rsidRPr="00B667C4">
        <w:rPr>
          <w:rFonts w:asciiTheme="minorHAnsi" w:hAnsiTheme="minorHAnsi" w:cstheme="minorHAnsi"/>
          <w:sz w:val="22"/>
        </w:rPr>
        <w:t>;</w:t>
      </w:r>
      <w:r w:rsidR="000B30F4" w:rsidRPr="00B667C4">
        <w:rPr>
          <w:rFonts w:asciiTheme="minorHAnsi" w:hAnsiTheme="minorHAnsi" w:cstheme="minorHAnsi"/>
          <w:sz w:val="22"/>
        </w:rPr>
        <w:t xml:space="preserve"> and as a </w:t>
      </w:r>
      <w:r w:rsidR="008D78EA" w:rsidRPr="00B667C4">
        <w:rPr>
          <w:rFonts w:asciiTheme="minorHAnsi" w:hAnsiTheme="minorHAnsi" w:cstheme="minorHAnsi"/>
          <w:sz w:val="22"/>
        </w:rPr>
        <w:t>result,</w:t>
      </w:r>
      <w:r w:rsidR="000B30F4" w:rsidRPr="00B667C4">
        <w:rPr>
          <w:rFonts w:asciiTheme="minorHAnsi" w:hAnsiTheme="minorHAnsi" w:cstheme="minorHAnsi"/>
          <w:sz w:val="22"/>
        </w:rPr>
        <w:t xml:space="preserve"> they</w:t>
      </w:r>
      <w:r w:rsidR="008D78EA" w:rsidRPr="00B667C4">
        <w:rPr>
          <w:rFonts w:asciiTheme="minorHAnsi" w:hAnsiTheme="minorHAnsi" w:cstheme="minorHAnsi"/>
          <w:sz w:val="22"/>
        </w:rPr>
        <w:t>,</w:t>
      </w:r>
      <w:r w:rsidR="000B30F4" w:rsidRPr="00B667C4">
        <w:rPr>
          <w:rFonts w:asciiTheme="minorHAnsi" w:hAnsiTheme="minorHAnsi" w:cstheme="minorHAnsi"/>
          <w:sz w:val="22"/>
        </w:rPr>
        <w:t xml:space="preserve"> have been lobbying for lesser competition. Members of these association want to prevent foreign clearing and forwarding agents from handling domestic cargo. Other freight forwarders, by contrast, see it as an opportunity for partnerships and mergers between the Tanzanian and/or Kenyan forwarders and their counterpar</w:t>
      </w:r>
      <w:r w:rsidR="009502DD" w:rsidRPr="00B667C4">
        <w:rPr>
          <w:rFonts w:asciiTheme="minorHAnsi" w:hAnsiTheme="minorHAnsi" w:cstheme="minorHAnsi"/>
          <w:sz w:val="22"/>
        </w:rPr>
        <w:t>ts in the landlocked countries.</w:t>
      </w:r>
      <w:r w:rsidR="009502DD" w:rsidRPr="00B667C4">
        <w:rPr>
          <w:rStyle w:val="FootnoteReference"/>
          <w:rFonts w:asciiTheme="minorHAnsi" w:hAnsiTheme="minorHAnsi" w:cstheme="minorHAnsi"/>
          <w:sz w:val="22"/>
        </w:rPr>
        <w:footnoteReference w:id="8"/>
      </w:r>
    </w:p>
    <w:p w14:paraId="49A33890" w14:textId="75E88BC3" w:rsidR="008D4A2E" w:rsidRPr="00B667C4" w:rsidRDefault="004B662C" w:rsidP="00EF107A">
      <w:pPr>
        <w:spacing w:after="120" w:line="276" w:lineRule="auto"/>
        <w:rPr>
          <w:rFonts w:asciiTheme="minorHAnsi" w:hAnsiTheme="minorHAnsi" w:cstheme="minorHAnsi"/>
          <w:sz w:val="22"/>
        </w:rPr>
      </w:pPr>
      <w:r w:rsidRPr="00B667C4">
        <w:rPr>
          <w:rFonts w:asciiTheme="minorHAnsi" w:eastAsia="Times New Roman" w:hAnsiTheme="minorHAnsi" w:cstheme="minorHAnsi"/>
          <w:color w:val="000000" w:themeColor="text1"/>
          <w:sz w:val="22"/>
          <w:lang w:eastAsia="en-GB"/>
        </w:rPr>
        <w:t>Where A</w:t>
      </w:r>
      <w:r w:rsidRPr="00B667C4">
        <w:rPr>
          <w:rFonts w:asciiTheme="minorHAnsi" w:hAnsiTheme="minorHAnsi" w:cstheme="minorHAnsi"/>
          <w:bCs/>
          <w:sz w:val="22"/>
        </w:rPr>
        <w:t xml:space="preserve">pex business association bodies have been effective such as in East Africa they have </w:t>
      </w:r>
      <w:r w:rsidR="00EF107A" w:rsidRPr="00B667C4">
        <w:rPr>
          <w:rFonts w:asciiTheme="minorHAnsi" w:hAnsiTheme="minorHAnsi" w:cstheme="minorHAnsi"/>
          <w:bCs/>
          <w:sz w:val="22"/>
        </w:rPr>
        <w:t xml:space="preserve">supported </w:t>
      </w:r>
      <w:r w:rsidRPr="00B667C4">
        <w:rPr>
          <w:rFonts w:asciiTheme="minorHAnsi" w:hAnsiTheme="minorHAnsi" w:cstheme="minorHAnsi"/>
          <w:bCs/>
          <w:sz w:val="22"/>
        </w:rPr>
        <w:t xml:space="preserve">harmonized business processes and </w:t>
      </w:r>
      <w:r w:rsidR="00EF107A" w:rsidRPr="00B667C4">
        <w:rPr>
          <w:rFonts w:asciiTheme="minorHAnsi" w:hAnsiTheme="minorHAnsi" w:cstheme="minorHAnsi"/>
          <w:bCs/>
          <w:sz w:val="22"/>
        </w:rPr>
        <w:t xml:space="preserve">deeper </w:t>
      </w:r>
      <w:r w:rsidRPr="00B667C4">
        <w:rPr>
          <w:rFonts w:asciiTheme="minorHAnsi" w:hAnsiTheme="minorHAnsi" w:cstheme="minorHAnsi"/>
          <w:bCs/>
          <w:sz w:val="22"/>
        </w:rPr>
        <w:t>engagement with governments. These include t</w:t>
      </w:r>
      <w:r w:rsidR="00DC4DBE" w:rsidRPr="00B667C4">
        <w:rPr>
          <w:rFonts w:asciiTheme="minorHAnsi" w:hAnsiTheme="minorHAnsi" w:cstheme="minorHAnsi"/>
          <w:bCs/>
          <w:sz w:val="22"/>
        </w:rPr>
        <w:t>he East Africa Business Council</w:t>
      </w:r>
      <w:r w:rsidRPr="00B667C4">
        <w:rPr>
          <w:rFonts w:asciiTheme="minorHAnsi" w:hAnsiTheme="minorHAnsi" w:cstheme="minorHAnsi"/>
          <w:bCs/>
          <w:sz w:val="22"/>
        </w:rPr>
        <w:t>, the Kenya Manufacturing Association, and the K</w:t>
      </w:r>
      <w:r w:rsidR="00DC4DBE" w:rsidRPr="00B667C4">
        <w:rPr>
          <w:rFonts w:asciiTheme="minorHAnsi" w:hAnsiTheme="minorHAnsi" w:cstheme="minorHAnsi"/>
          <w:bCs/>
          <w:sz w:val="22"/>
        </w:rPr>
        <w:t>enya Private Sector Alliance</w:t>
      </w:r>
      <w:r w:rsidRPr="00B667C4">
        <w:rPr>
          <w:rFonts w:asciiTheme="minorHAnsi" w:hAnsiTheme="minorHAnsi" w:cstheme="minorHAnsi"/>
          <w:bCs/>
          <w:sz w:val="22"/>
        </w:rPr>
        <w:t xml:space="preserve">. The transport sector associations like Kenya Shippers Council and the Uganda Shippers Council have made the Shippers Council of East Africa a powerful advocate for regional integration. </w:t>
      </w:r>
      <w:r w:rsidRPr="00B667C4">
        <w:rPr>
          <w:rFonts w:asciiTheme="minorHAnsi" w:hAnsiTheme="minorHAnsi" w:cstheme="minorHAnsi"/>
          <w:sz w:val="22"/>
        </w:rPr>
        <w:t xml:space="preserve">EAC member states are making some progress on regulatory harmonization in the transport sector, particularly axle load harmonization through which all EAC member states use the same policy for axle load. </w:t>
      </w:r>
      <w:r w:rsidR="00943545" w:rsidRPr="00B667C4">
        <w:rPr>
          <w:rFonts w:asciiTheme="minorHAnsi" w:eastAsia="Times New Roman" w:hAnsiTheme="minorHAnsi" w:cstheme="minorHAnsi"/>
          <w:color w:val="000000" w:themeColor="text1"/>
          <w:sz w:val="22"/>
          <w:lang w:eastAsia="en-GB"/>
        </w:rPr>
        <w:t>Such</w:t>
      </w:r>
      <w:r w:rsidR="00470872" w:rsidRPr="00B667C4">
        <w:rPr>
          <w:rFonts w:asciiTheme="minorHAnsi" w:eastAsia="Times New Roman" w:hAnsiTheme="minorHAnsi" w:cstheme="minorHAnsi"/>
          <w:color w:val="000000" w:themeColor="text1"/>
          <w:sz w:val="22"/>
          <w:lang w:eastAsia="en-GB"/>
        </w:rPr>
        <w:t xml:space="preserve"> pragmatic </w:t>
      </w:r>
      <w:r w:rsidR="00943545" w:rsidRPr="00B667C4">
        <w:rPr>
          <w:rFonts w:asciiTheme="minorHAnsi" w:eastAsia="Times New Roman" w:hAnsiTheme="minorHAnsi" w:cstheme="minorHAnsi"/>
          <w:color w:val="000000" w:themeColor="text1"/>
          <w:sz w:val="22"/>
          <w:lang w:eastAsia="en-GB"/>
        </w:rPr>
        <w:t xml:space="preserve">reliance and pursuit </w:t>
      </w:r>
      <w:r w:rsidR="00470872" w:rsidRPr="00B667C4">
        <w:rPr>
          <w:rFonts w:asciiTheme="minorHAnsi" w:eastAsia="Times New Roman" w:hAnsiTheme="minorHAnsi" w:cstheme="minorHAnsi"/>
          <w:color w:val="000000" w:themeColor="text1"/>
          <w:sz w:val="22"/>
          <w:lang w:eastAsia="en-GB"/>
        </w:rPr>
        <w:t xml:space="preserve">of ‘variable geometry’ </w:t>
      </w:r>
      <w:r w:rsidR="00943545" w:rsidRPr="00B667C4">
        <w:rPr>
          <w:rFonts w:asciiTheme="minorHAnsi" w:eastAsia="Times New Roman" w:hAnsiTheme="minorHAnsi" w:cstheme="minorHAnsi"/>
          <w:color w:val="000000" w:themeColor="text1"/>
          <w:sz w:val="22"/>
          <w:lang w:eastAsia="en-GB"/>
        </w:rPr>
        <w:t xml:space="preserve">can be powerful </w:t>
      </w:r>
      <w:r w:rsidR="00255182" w:rsidRPr="00B667C4">
        <w:rPr>
          <w:rFonts w:asciiTheme="minorHAnsi" w:eastAsia="Times New Roman" w:hAnsiTheme="minorHAnsi" w:cstheme="minorHAnsi"/>
          <w:color w:val="000000" w:themeColor="text1"/>
          <w:sz w:val="22"/>
          <w:lang w:eastAsia="en-GB"/>
        </w:rPr>
        <w:t>in pursuing lower trade costs</w:t>
      </w:r>
      <w:r w:rsidR="00470872" w:rsidRPr="00B667C4">
        <w:rPr>
          <w:rFonts w:asciiTheme="minorHAnsi" w:eastAsia="Times New Roman" w:hAnsiTheme="minorHAnsi" w:cstheme="minorHAnsi"/>
          <w:color w:val="000000" w:themeColor="text1"/>
          <w:sz w:val="22"/>
          <w:lang w:eastAsia="en-GB"/>
        </w:rPr>
        <w:t xml:space="preserve">. </w:t>
      </w:r>
      <w:r w:rsidR="000B30F4" w:rsidRPr="00B667C4">
        <w:rPr>
          <w:rFonts w:asciiTheme="minorHAnsi" w:hAnsiTheme="minorHAnsi" w:cstheme="minorHAnsi"/>
          <w:color w:val="000000" w:themeColor="text1"/>
          <w:sz w:val="22"/>
        </w:rPr>
        <w:t xml:space="preserve">Tanzania, and to some extent Burundi, has for a long-time preferred </w:t>
      </w:r>
      <w:r w:rsidR="00470872" w:rsidRPr="00B667C4">
        <w:rPr>
          <w:rFonts w:asciiTheme="minorHAnsi" w:hAnsiTheme="minorHAnsi" w:cstheme="minorHAnsi"/>
          <w:color w:val="000000" w:themeColor="text1"/>
          <w:sz w:val="22"/>
        </w:rPr>
        <w:t xml:space="preserve">a </w:t>
      </w:r>
      <w:r w:rsidR="000B30F4" w:rsidRPr="00B667C4">
        <w:rPr>
          <w:rFonts w:asciiTheme="minorHAnsi" w:hAnsiTheme="minorHAnsi" w:cstheme="minorHAnsi"/>
          <w:color w:val="000000" w:themeColor="text1"/>
          <w:sz w:val="22"/>
        </w:rPr>
        <w:t xml:space="preserve">slower pace in integration </w:t>
      </w:r>
      <w:r w:rsidR="00470872" w:rsidRPr="00B667C4">
        <w:rPr>
          <w:rFonts w:asciiTheme="minorHAnsi" w:hAnsiTheme="minorHAnsi" w:cstheme="minorHAnsi"/>
          <w:color w:val="000000" w:themeColor="text1"/>
          <w:sz w:val="22"/>
        </w:rPr>
        <w:t xml:space="preserve">of </w:t>
      </w:r>
      <w:r w:rsidR="000B30F4" w:rsidRPr="00B667C4">
        <w:rPr>
          <w:rFonts w:asciiTheme="minorHAnsi" w:hAnsiTheme="minorHAnsi" w:cstheme="minorHAnsi"/>
          <w:color w:val="000000" w:themeColor="text1"/>
          <w:sz w:val="22"/>
        </w:rPr>
        <w:t>EAC</w:t>
      </w:r>
      <w:r w:rsidR="00470872" w:rsidRPr="00B667C4">
        <w:rPr>
          <w:rFonts w:asciiTheme="minorHAnsi" w:hAnsiTheme="minorHAnsi" w:cstheme="minorHAnsi"/>
          <w:color w:val="000000" w:themeColor="text1"/>
          <w:sz w:val="22"/>
        </w:rPr>
        <w:t xml:space="preserve"> than </w:t>
      </w:r>
      <w:r w:rsidR="000B30F4" w:rsidRPr="00B667C4">
        <w:rPr>
          <w:rFonts w:asciiTheme="minorHAnsi" w:hAnsiTheme="minorHAnsi" w:cstheme="minorHAnsi"/>
          <w:color w:val="000000" w:themeColor="text1"/>
          <w:sz w:val="22"/>
        </w:rPr>
        <w:t>Kenya, Rwanda, and Uganda. Head of States of the</w:t>
      </w:r>
      <w:r w:rsidR="00470872" w:rsidRPr="00B667C4">
        <w:rPr>
          <w:rFonts w:asciiTheme="minorHAnsi" w:hAnsiTheme="minorHAnsi" w:cstheme="minorHAnsi"/>
          <w:color w:val="000000" w:themeColor="text1"/>
          <w:sz w:val="22"/>
        </w:rPr>
        <w:t xml:space="preserve"> latter </w:t>
      </w:r>
      <w:r w:rsidR="000B30F4" w:rsidRPr="00B667C4">
        <w:rPr>
          <w:rFonts w:asciiTheme="minorHAnsi" w:hAnsiTheme="minorHAnsi" w:cstheme="minorHAnsi"/>
          <w:color w:val="000000" w:themeColor="text1"/>
          <w:sz w:val="22"/>
        </w:rPr>
        <w:t>three countries have supported a variable geometry</w:t>
      </w:r>
      <w:r w:rsidR="007D7D27" w:rsidRPr="00B667C4">
        <w:rPr>
          <w:rFonts w:asciiTheme="minorHAnsi" w:hAnsiTheme="minorHAnsi" w:cstheme="minorHAnsi"/>
          <w:color w:val="000000" w:themeColor="text1"/>
          <w:sz w:val="22"/>
        </w:rPr>
        <w:t>-based</w:t>
      </w:r>
      <w:r w:rsidR="000B30F4" w:rsidRPr="00B667C4">
        <w:rPr>
          <w:rFonts w:asciiTheme="minorHAnsi" w:hAnsiTheme="minorHAnsi" w:cstheme="minorHAnsi"/>
          <w:color w:val="000000" w:themeColor="text1"/>
          <w:sz w:val="22"/>
        </w:rPr>
        <w:t xml:space="preserve"> time table in such areas as </w:t>
      </w:r>
      <w:r w:rsidR="000B30F4" w:rsidRPr="00B667C4">
        <w:rPr>
          <w:rFonts w:asciiTheme="minorHAnsi" w:hAnsiTheme="minorHAnsi" w:cstheme="minorHAnsi"/>
          <w:sz w:val="22"/>
        </w:rPr>
        <w:t xml:space="preserve">infrastructure development, single tourist visa, </w:t>
      </w:r>
      <w:r w:rsidR="007D7D27" w:rsidRPr="00B667C4">
        <w:rPr>
          <w:rFonts w:asciiTheme="minorHAnsi" w:hAnsiTheme="minorHAnsi" w:cstheme="minorHAnsi"/>
          <w:sz w:val="22"/>
        </w:rPr>
        <w:t xml:space="preserve">and </w:t>
      </w:r>
      <w:r w:rsidR="000B30F4" w:rsidRPr="00B667C4">
        <w:rPr>
          <w:rFonts w:asciiTheme="minorHAnsi" w:hAnsiTheme="minorHAnsi" w:cstheme="minorHAnsi"/>
          <w:sz w:val="22"/>
        </w:rPr>
        <w:t>enhanced labo</w:t>
      </w:r>
      <w:r w:rsidRPr="00B667C4">
        <w:rPr>
          <w:rFonts w:asciiTheme="minorHAnsi" w:hAnsiTheme="minorHAnsi" w:cstheme="minorHAnsi"/>
          <w:sz w:val="22"/>
        </w:rPr>
        <w:t>u</w:t>
      </w:r>
      <w:r w:rsidR="000B30F4" w:rsidRPr="00B667C4">
        <w:rPr>
          <w:rFonts w:asciiTheme="minorHAnsi" w:hAnsiTheme="minorHAnsi" w:cstheme="minorHAnsi"/>
          <w:sz w:val="22"/>
        </w:rPr>
        <w:t>r mobility. Th</w:t>
      </w:r>
      <w:r w:rsidR="007D7D27" w:rsidRPr="00B667C4">
        <w:rPr>
          <w:rFonts w:asciiTheme="minorHAnsi" w:hAnsiTheme="minorHAnsi" w:cstheme="minorHAnsi"/>
          <w:sz w:val="22"/>
        </w:rPr>
        <w:t xml:space="preserve">is has </w:t>
      </w:r>
      <w:r w:rsidR="000B30F4" w:rsidRPr="00B667C4">
        <w:rPr>
          <w:rFonts w:asciiTheme="minorHAnsi" w:eastAsia="Times New Roman" w:hAnsiTheme="minorHAnsi" w:cstheme="minorHAnsi"/>
          <w:color w:val="000000" w:themeColor="text1"/>
          <w:sz w:val="22"/>
          <w:lang w:eastAsia="en-GB"/>
        </w:rPr>
        <w:t xml:space="preserve">facilitated the </w:t>
      </w:r>
      <w:r w:rsidR="000B30F4" w:rsidRPr="00B667C4">
        <w:rPr>
          <w:rFonts w:asciiTheme="minorHAnsi" w:hAnsiTheme="minorHAnsi" w:cstheme="minorHAnsi"/>
          <w:sz w:val="22"/>
        </w:rPr>
        <w:t xml:space="preserve">implementation of </w:t>
      </w:r>
      <w:r w:rsidR="00DC4DBE" w:rsidRPr="00B667C4">
        <w:rPr>
          <w:rFonts w:asciiTheme="minorHAnsi" w:hAnsiTheme="minorHAnsi" w:cstheme="minorHAnsi"/>
          <w:sz w:val="22"/>
        </w:rPr>
        <w:t>a</w:t>
      </w:r>
      <w:r w:rsidR="000B30F4" w:rsidRPr="00B667C4">
        <w:rPr>
          <w:rFonts w:asciiTheme="minorHAnsi" w:hAnsiTheme="minorHAnsi" w:cstheme="minorHAnsi"/>
          <w:sz w:val="22"/>
        </w:rPr>
        <w:t xml:space="preserve"> Single Customs Territory along the Northern Corridor</w:t>
      </w:r>
      <w:r w:rsidR="007D7D27" w:rsidRPr="00B667C4">
        <w:rPr>
          <w:rFonts w:asciiTheme="minorHAnsi" w:hAnsiTheme="minorHAnsi" w:cstheme="minorHAnsi"/>
          <w:sz w:val="22"/>
        </w:rPr>
        <w:t xml:space="preserve"> and </w:t>
      </w:r>
      <w:r w:rsidR="000B30F4" w:rsidRPr="00B667C4">
        <w:rPr>
          <w:rFonts w:asciiTheme="minorHAnsi" w:hAnsiTheme="minorHAnsi" w:cstheme="minorHAnsi"/>
          <w:sz w:val="22"/>
        </w:rPr>
        <w:t xml:space="preserve">has led to </w:t>
      </w:r>
      <w:r w:rsidR="000B30F4" w:rsidRPr="00B667C4">
        <w:rPr>
          <w:rFonts w:asciiTheme="minorHAnsi" w:eastAsia="Times New Roman" w:hAnsiTheme="minorHAnsi" w:cstheme="minorHAnsi"/>
          <w:color w:val="000000" w:themeColor="text1"/>
          <w:sz w:val="22"/>
          <w:lang w:eastAsia="en-GB"/>
        </w:rPr>
        <w:t xml:space="preserve">reduced border crossing times, elimination of many weighbridges and police checkpoints on the roads, and growing compliance with weight restrictions. </w:t>
      </w:r>
      <w:r w:rsidR="000B30F4" w:rsidRPr="00B667C4">
        <w:rPr>
          <w:rFonts w:asciiTheme="minorHAnsi" w:hAnsiTheme="minorHAnsi" w:cstheme="minorHAnsi"/>
          <w:sz w:val="22"/>
        </w:rPr>
        <w:t>For example, the Regional Customs Transit Guarantee (RCTG) scheme covers transit goods from or to the ports and has eliminated multiple national transit guarantees. The single RCTG is accepted throughout the customs territory; this has significantly enhanced intra-EAC trade and lower</w:t>
      </w:r>
      <w:r w:rsidR="00255182" w:rsidRPr="00B667C4">
        <w:rPr>
          <w:rFonts w:asciiTheme="minorHAnsi" w:hAnsiTheme="minorHAnsi" w:cstheme="minorHAnsi"/>
          <w:sz w:val="22"/>
        </w:rPr>
        <w:t>ed</w:t>
      </w:r>
      <w:r w:rsidR="000B30F4" w:rsidRPr="00B667C4">
        <w:rPr>
          <w:rFonts w:asciiTheme="minorHAnsi" w:hAnsiTheme="minorHAnsi" w:cstheme="minorHAnsi"/>
          <w:sz w:val="22"/>
        </w:rPr>
        <w:t xml:space="preserve"> expenses for businesses particularly on the Northern Corridor. </w:t>
      </w:r>
      <w:r w:rsidR="00DC4DBE" w:rsidRPr="00B667C4">
        <w:rPr>
          <w:rFonts w:asciiTheme="minorHAnsi" w:hAnsiTheme="minorHAnsi" w:cstheme="minorHAnsi"/>
          <w:sz w:val="22"/>
        </w:rPr>
        <w:t xml:space="preserve">This </w:t>
      </w:r>
      <w:r w:rsidR="000B30F4" w:rsidRPr="00B667C4">
        <w:rPr>
          <w:rFonts w:asciiTheme="minorHAnsi" w:hAnsiTheme="minorHAnsi" w:cstheme="minorHAnsi"/>
          <w:sz w:val="22"/>
        </w:rPr>
        <w:t xml:space="preserve">in turn </w:t>
      </w:r>
      <w:r w:rsidR="00DC4DBE" w:rsidRPr="00B667C4">
        <w:rPr>
          <w:rFonts w:asciiTheme="minorHAnsi" w:hAnsiTheme="minorHAnsi" w:cstheme="minorHAnsi"/>
          <w:sz w:val="22"/>
        </w:rPr>
        <w:t xml:space="preserve">has </w:t>
      </w:r>
      <w:r w:rsidR="000B30F4" w:rsidRPr="00B667C4">
        <w:rPr>
          <w:rFonts w:asciiTheme="minorHAnsi" w:hAnsiTheme="minorHAnsi" w:cstheme="minorHAnsi"/>
          <w:sz w:val="22"/>
        </w:rPr>
        <w:t>had positive spillover effects on Tanzania and Burundi, as well as South-Soudan and Eastern DRC.</w:t>
      </w:r>
      <w:r w:rsidR="00DC4DBE" w:rsidRPr="00B667C4">
        <w:rPr>
          <w:rFonts w:asciiTheme="minorHAnsi" w:hAnsiTheme="minorHAnsi" w:cstheme="minorHAnsi"/>
          <w:sz w:val="22"/>
        </w:rPr>
        <w:t xml:space="preserve"> Progress on the central corridor has been more limited.</w:t>
      </w:r>
    </w:p>
    <w:p w14:paraId="22C1EA43" w14:textId="292D5094" w:rsidR="004B1E0A" w:rsidRPr="00B667C4" w:rsidRDefault="004B1E0A"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 xml:space="preserve">Most stakeholders engaged in cross border trade are familiar with prevailing procedures and know how to operate and trade profitably. Prioritizing the technical aspects of trade facilitation overlooks the fact that procedural change will shift the costs and benefits. This can result in attention shifting away from those actors who may feel threatened by the proposed changes. A common mistake is to confound the problem with capacity constraints that can be alleviated by funding for trade capacity building activities to support trade facilitation. While capacity weaknesses are undeniable in Africa, adopting a narrow focus on such constraints neglects the need for analysis and understanding of the role of vested interests. An overall supply chain approach is needed that goes beyond </w:t>
      </w:r>
      <w:r w:rsidR="00D139AE" w:rsidRPr="00B667C4">
        <w:rPr>
          <w:rFonts w:asciiTheme="minorHAnsi" w:hAnsiTheme="minorHAnsi" w:cstheme="minorHAnsi"/>
          <w:color w:val="000000" w:themeColor="text1"/>
          <w:sz w:val="22"/>
        </w:rPr>
        <w:t xml:space="preserve">targeting </w:t>
      </w:r>
      <w:r w:rsidRPr="00B667C4">
        <w:rPr>
          <w:rFonts w:asciiTheme="minorHAnsi" w:hAnsiTheme="minorHAnsi" w:cstheme="minorHAnsi"/>
          <w:color w:val="000000" w:themeColor="text1"/>
          <w:sz w:val="22"/>
        </w:rPr>
        <w:t xml:space="preserve">technical capacity limitations to one that spans the role of all the stakeholders, including financial institutions, clearing and forwarding agents, import competing private companies, and parastatal entities that may be benefiting from the existing policy and regulatory framework and may actively oppose any change. </w:t>
      </w:r>
    </w:p>
    <w:p w14:paraId="2169756D" w14:textId="2D4535F0" w:rsidR="0032334C" w:rsidRPr="00B667C4" w:rsidRDefault="0032334C"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A</w:t>
      </w:r>
      <w:r w:rsidR="007D7D27" w:rsidRPr="00B667C4">
        <w:rPr>
          <w:rFonts w:asciiTheme="minorHAnsi" w:hAnsiTheme="minorHAnsi" w:cstheme="minorHAnsi"/>
          <w:color w:val="000000" w:themeColor="text1"/>
          <w:sz w:val="22"/>
        </w:rPr>
        <w:t xml:space="preserve">n example of what such an approach might generate is provided by </w:t>
      </w:r>
      <w:r w:rsidRPr="00B667C4">
        <w:rPr>
          <w:rFonts w:asciiTheme="minorHAnsi" w:hAnsiTheme="minorHAnsi" w:cstheme="minorHAnsi"/>
          <w:color w:val="000000" w:themeColor="text1"/>
          <w:sz w:val="22"/>
        </w:rPr>
        <w:t>Rwanda</w:t>
      </w:r>
      <w:r w:rsidR="007D7D27" w:rsidRPr="00B667C4">
        <w:rPr>
          <w:rFonts w:asciiTheme="minorHAnsi" w:hAnsiTheme="minorHAnsi" w:cstheme="minorHAnsi"/>
          <w:color w:val="000000" w:themeColor="text1"/>
          <w:sz w:val="22"/>
        </w:rPr>
        <w:t xml:space="preserve">. </w:t>
      </w:r>
      <w:r w:rsidRPr="00B667C4">
        <w:rPr>
          <w:rFonts w:asciiTheme="minorHAnsi" w:hAnsiTheme="minorHAnsi" w:cstheme="minorHAnsi"/>
          <w:color w:val="000000" w:themeColor="text1"/>
          <w:sz w:val="22"/>
        </w:rPr>
        <w:t>The National Logistics and Distribution Services Strategy was developed to help mitigate Rwanda’s logistical challenges. The strategy (i) provided an enhanced role for Rwanda’s logistics system; (ii) incorporated logistics services with value-added activities; (iii) strategically aligned logistics and distribution facilities to production centers; and (</w:t>
      </w:r>
      <w:r w:rsidR="004B1E0A" w:rsidRPr="00B667C4">
        <w:rPr>
          <w:rFonts w:asciiTheme="minorHAnsi" w:hAnsiTheme="minorHAnsi" w:cstheme="minorHAnsi"/>
          <w:color w:val="000000" w:themeColor="text1"/>
          <w:sz w:val="22"/>
        </w:rPr>
        <w:t xml:space="preserve">iv) </w:t>
      </w:r>
      <w:r w:rsidR="00B7096C">
        <w:rPr>
          <w:rFonts w:asciiTheme="minorHAnsi" w:hAnsiTheme="minorHAnsi" w:cstheme="minorHAnsi"/>
          <w:color w:val="000000" w:themeColor="text1"/>
          <w:sz w:val="22"/>
        </w:rPr>
        <w:t xml:space="preserve">helped </w:t>
      </w:r>
      <w:r w:rsidRPr="00B667C4">
        <w:rPr>
          <w:rFonts w:asciiTheme="minorHAnsi" w:hAnsiTheme="minorHAnsi" w:cstheme="minorHAnsi"/>
          <w:color w:val="000000" w:themeColor="text1"/>
          <w:sz w:val="22"/>
        </w:rPr>
        <w:t>Rwanda to become a net exporter of logistics services. Because Rwanda developed such a strategy it could more specifically move further to develop USD $100 million across three strategic themes: logistics facilities to capitalize on longer value chains in the horticultural sector; regional logistics centers and land bridge improvements for the extended market’s transit traffic; and air cargo market development to respond to overlapping market opportunities.  This provides a good case study of how African can move up global value chains (see Njinkeu and Hartman, 2015).</w:t>
      </w:r>
    </w:p>
    <w:p w14:paraId="363B1184" w14:textId="436D1310" w:rsidR="0020424E" w:rsidRPr="00B667C4" w:rsidRDefault="00D0400E" w:rsidP="00EF107A">
      <w:pPr>
        <w:spacing w:after="120" w:line="276" w:lineRule="auto"/>
        <w:rPr>
          <w:rFonts w:asciiTheme="minorHAnsi" w:hAnsiTheme="minorHAnsi" w:cstheme="minorHAnsi"/>
          <w:sz w:val="22"/>
        </w:rPr>
      </w:pPr>
      <w:r w:rsidRPr="00B667C4">
        <w:rPr>
          <w:rFonts w:asciiTheme="minorHAnsi" w:hAnsiTheme="minorHAnsi" w:cstheme="minorHAnsi"/>
          <w:color w:val="000000" w:themeColor="text1"/>
          <w:sz w:val="22"/>
        </w:rPr>
        <w:t xml:space="preserve">At the continental level </w:t>
      </w:r>
      <w:r w:rsidR="004949F2" w:rsidRPr="00B667C4">
        <w:rPr>
          <w:rFonts w:asciiTheme="minorHAnsi" w:hAnsiTheme="minorHAnsi" w:cstheme="minorHAnsi"/>
          <w:color w:val="000000" w:themeColor="text1"/>
          <w:sz w:val="22"/>
        </w:rPr>
        <w:t>a</w:t>
      </w:r>
      <w:r w:rsidR="00BF4828" w:rsidRPr="00B667C4">
        <w:rPr>
          <w:rFonts w:asciiTheme="minorHAnsi" w:hAnsiTheme="minorHAnsi" w:cstheme="minorHAnsi"/>
          <w:color w:val="000000" w:themeColor="text1"/>
          <w:sz w:val="22"/>
        </w:rPr>
        <w:t xml:space="preserve"> framework for </w:t>
      </w:r>
      <w:r w:rsidR="00EF107A" w:rsidRPr="00B667C4">
        <w:rPr>
          <w:rFonts w:asciiTheme="minorHAnsi" w:hAnsiTheme="minorHAnsi" w:cstheme="minorHAnsi"/>
          <w:color w:val="000000" w:themeColor="text1"/>
          <w:sz w:val="22"/>
        </w:rPr>
        <w:t xml:space="preserve">a broad-based </w:t>
      </w:r>
      <w:r w:rsidR="00BF4828" w:rsidRPr="00B667C4">
        <w:rPr>
          <w:rFonts w:asciiTheme="minorHAnsi" w:hAnsiTheme="minorHAnsi" w:cstheme="minorHAnsi"/>
          <w:color w:val="000000" w:themeColor="text1"/>
          <w:sz w:val="22"/>
        </w:rPr>
        <w:t>consideration of the trade cost reduction agenda is the Africa Trade Facilitation Forum (ATFF) organized by the African Union Commission</w:t>
      </w:r>
      <w:r w:rsidR="006D2639" w:rsidRPr="00B667C4">
        <w:rPr>
          <w:rFonts w:asciiTheme="minorHAnsi" w:hAnsiTheme="minorHAnsi" w:cstheme="minorHAnsi"/>
          <w:color w:val="000000" w:themeColor="text1"/>
          <w:sz w:val="22"/>
        </w:rPr>
        <w:t xml:space="preserve"> which brings together </w:t>
      </w:r>
      <w:r w:rsidR="00BF4828" w:rsidRPr="00B667C4">
        <w:rPr>
          <w:rFonts w:asciiTheme="minorHAnsi" w:hAnsiTheme="minorHAnsi" w:cstheme="minorHAnsi"/>
          <w:color w:val="000000" w:themeColor="text1"/>
          <w:sz w:val="22"/>
        </w:rPr>
        <w:t>a diverse stakeholders group to review the various dimensions of trade facilitation as mandated by the trade facilitation cluster of the Boosting Intra-African Trade (BIAT)</w:t>
      </w:r>
      <w:r w:rsidR="006D2639" w:rsidRPr="00B667C4">
        <w:rPr>
          <w:rFonts w:asciiTheme="minorHAnsi" w:hAnsiTheme="minorHAnsi" w:cstheme="minorHAnsi"/>
          <w:color w:val="000000" w:themeColor="text1"/>
          <w:sz w:val="22"/>
        </w:rPr>
        <w:t>.</w:t>
      </w:r>
      <w:r w:rsidR="00B76432" w:rsidRPr="00B667C4">
        <w:rPr>
          <w:rFonts w:asciiTheme="minorHAnsi" w:hAnsiTheme="minorHAnsi" w:cstheme="minorHAnsi"/>
          <w:color w:val="000000" w:themeColor="text1"/>
          <w:sz w:val="22"/>
        </w:rPr>
        <w:t xml:space="preserve"> The ATFF </w:t>
      </w:r>
      <w:r w:rsidR="006D2639" w:rsidRPr="00B667C4">
        <w:rPr>
          <w:rFonts w:asciiTheme="minorHAnsi" w:hAnsiTheme="minorHAnsi" w:cstheme="minorHAnsi"/>
          <w:color w:val="000000" w:themeColor="text1"/>
          <w:sz w:val="22"/>
        </w:rPr>
        <w:t>i</w:t>
      </w:r>
      <w:r w:rsidR="00B76432" w:rsidRPr="00B667C4">
        <w:rPr>
          <w:rFonts w:asciiTheme="minorHAnsi" w:hAnsiTheme="minorHAnsi" w:cstheme="minorHAnsi"/>
          <w:color w:val="000000" w:themeColor="text1"/>
          <w:sz w:val="22"/>
        </w:rPr>
        <w:t xml:space="preserve">s the first platform organized at ministerial level </w:t>
      </w:r>
      <w:r w:rsidR="006D2639" w:rsidRPr="00B667C4">
        <w:rPr>
          <w:rFonts w:asciiTheme="minorHAnsi" w:hAnsiTheme="minorHAnsi" w:cstheme="minorHAnsi"/>
          <w:color w:val="000000" w:themeColor="text1"/>
          <w:sz w:val="22"/>
        </w:rPr>
        <w:t xml:space="preserve">bringing together </w:t>
      </w:r>
      <w:r w:rsidR="00B76432" w:rsidRPr="00B667C4">
        <w:rPr>
          <w:rFonts w:asciiTheme="minorHAnsi" w:hAnsiTheme="minorHAnsi" w:cstheme="minorHAnsi"/>
          <w:color w:val="000000" w:themeColor="text1"/>
          <w:sz w:val="22"/>
        </w:rPr>
        <w:t xml:space="preserve">CEOs and executives from the private sector, development banks, parliamentarians, senior representatives from civil society, academia, international development agencies and the media. </w:t>
      </w:r>
      <w:r w:rsidR="006D2639" w:rsidRPr="00B667C4">
        <w:rPr>
          <w:rFonts w:asciiTheme="minorHAnsi" w:hAnsiTheme="minorHAnsi" w:cstheme="minorHAnsi"/>
          <w:color w:val="000000" w:themeColor="text1"/>
          <w:sz w:val="22"/>
        </w:rPr>
        <w:t xml:space="preserve">This </w:t>
      </w:r>
      <w:r w:rsidR="00B76432" w:rsidRPr="00B667C4">
        <w:rPr>
          <w:rFonts w:asciiTheme="minorHAnsi" w:hAnsiTheme="minorHAnsi" w:cstheme="minorHAnsi"/>
          <w:color w:val="000000" w:themeColor="text1"/>
          <w:sz w:val="22"/>
        </w:rPr>
        <w:t>multi-stakeholder platform enable</w:t>
      </w:r>
      <w:r w:rsidR="006D2639" w:rsidRPr="00B667C4">
        <w:rPr>
          <w:rFonts w:asciiTheme="minorHAnsi" w:hAnsiTheme="minorHAnsi" w:cstheme="minorHAnsi"/>
          <w:color w:val="000000" w:themeColor="text1"/>
          <w:sz w:val="22"/>
        </w:rPr>
        <w:t>s</w:t>
      </w:r>
      <w:r w:rsidR="00B76432" w:rsidRPr="00B667C4">
        <w:rPr>
          <w:rFonts w:asciiTheme="minorHAnsi" w:hAnsiTheme="minorHAnsi" w:cstheme="minorHAnsi"/>
          <w:color w:val="000000" w:themeColor="text1"/>
          <w:sz w:val="22"/>
        </w:rPr>
        <w:t xml:space="preserve"> consideration of practical policies and actions for implementing trade facilitation programs</w:t>
      </w:r>
      <w:r w:rsidR="00B76432" w:rsidRPr="00B667C4">
        <w:rPr>
          <w:rFonts w:asciiTheme="minorHAnsi" w:hAnsiTheme="minorHAnsi" w:cstheme="minorHAnsi"/>
          <w:sz w:val="22"/>
          <w:u w:color="000000"/>
          <w:bdr w:val="nil"/>
          <w:lang w:eastAsia="en-GB"/>
        </w:rPr>
        <w:t>.</w:t>
      </w:r>
      <w:r w:rsidR="00943545" w:rsidRPr="00B667C4">
        <w:rPr>
          <w:rFonts w:asciiTheme="minorHAnsi" w:hAnsiTheme="minorHAnsi" w:cstheme="minorHAnsi"/>
          <w:sz w:val="22"/>
          <w:u w:color="000000"/>
          <w:bdr w:val="nil"/>
          <w:lang w:eastAsia="en-GB"/>
        </w:rPr>
        <w:t xml:space="preserve"> </w:t>
      </w:r>
      <w:r w:rsidR="00B76432" w:rsidRPr="00B667C4">
        <w:rPr>
          <w:rFonts w:asciiTheme="minorHAnsi" w:hAnsiTheme="minorHAnsi" w:cstheme="minorHAnsi"/>
          <w:color w:val="000000" w:themeColor="text1"/>
          <w:sz w:val="22"/>
        </w:rPr>
        <w:t xml:space="preserve">Deliberations </w:t>
      </w:r>
      <w:r w:rsidR="006D2639" w:rsidRPr="00B667C4">
        <w:rPr>
          <w:rFonts w:asciiTheme="minorHAnsi" w:hAnsiTheme="minorHAnsi" w:cstheme="minorHAnsi"/>
          <w:color w:val="000000" w:themeColor="text1"/>
          <w:sz w:val="22"/>
        </w:rPr>
        <w:t xml:space="preserve">at the first meeting of this body </w:t>
      </w:r>
      <w:r w:rsidR="00B76432" w:rsidRPr="00B667C4">
        <w:rPr>
          <w:rFonts w:asciiTheme="minorHAnsi" w:hAnsiTheme="minorHAnsi" w:cstheme="minorHAnsi"/>
          <w:color w:val="000000" w:themeColor="text1"/>
          <w:sz w:val="22"/>
        </w:rPr>
        <w:t xml:space="preserve">underscored the importance of fast-tracking the implementation of the </w:t>
      </w:r>
      <w:r w:rsidR="006D2639" w:rsidRPr="00B667C4">
        <w:rPr>
          <w:rFonts w:asciiTheme="minorHAnsi" w:hAnsiTheme="minorHAnsi" w:cstheme="minorHAnsi"/>
          <w:color w:val="000000" w:themeColor="text1"/>
          <w:sz w:val="22"/>
        </w:rPr>
        <w:t>TFA a</w:t>
      </w:r>
      <w:r w:rsidR="00B76432" w:rsidRPr="00B667C4">
        <w:rPr>
          <w:rFonts w:asciiTheme="minorHAnsi" w:hAnsiTheme="minorHAnsi" w:cstheme="minorHAnsi"/>
          <w:color w:val="000000" w:themeColor="text1"/>
          <w:sz w:val="22"/>
        </w:rPr>
        <w:t>s an integral part of the trade facilitation cluster of BIAT</w:t>
      </w:r>
      <w:r w:rsidR="006D2639" w:rsidRPr="00B667C4">
        <w:rPr>
          <w:rFonts w:asciiTheme="minorHAnsi" w:hAnsiTheme="minorHAnsi" w:cstheme="minorHAnsi"/>
          <w:color w:val="000000" w:themeColor="text1"/>
          <w:sz w:val="22"/>
        </w:rPr>
        <w:t xml:space="preserve"> and support</w:t>
      </w:r>
      <w:r w:rsidR="00B76432" w:rsidRPr="00B667C4">
        <w:rPr>
          <w:rFonts w:asciiTheme="minorHAnsi" w:hAnsiTheme="minorHAnsi" w:cstheme="minorHAnsi"/>
          <w:color w:val="000000" w:themeColor="text1"/>
          <w:sz w:val="22"/>
        </w:rPr>
        <w:t xml:space="preserve"> for the ATFF to be made a permanent a Pan-African platform for advancing intra-African trade facilitation dialogue among multi-stakeholder groups</w:t>
      </w:r>
      <w:r w:rsidR="00E12A25" w:rsidRPr="00B667C4">
        <w:rPr>
          <w:rFonts w:asciiTheme="minorHAnsi" w:hAnsiTheme="minorHAnsi" w:cstheme="minorHAnsi"/>
          <w:color w:val="000000" w:themeColor="text1"/>
          <w:sz w:val="22"/>
        </w:rPr>
        <w:t>.</w:t>
      </w:r>
      <w:r w:rsidR="006D2639" w:rsidRPr="00B667C4">
        <w:rPr>
          <w:rStyle w:val="FootnoteReference"/>
          <w:rFonts w:asciiTheme="minorHAnsi" w:hAnsiTheme="minorHAnsi" w:cstheme="minorHAnsi"/>
          <w:sz w:val="22"/>
          <w:u w:color="000000"/>
          <w:bdr w:val="nil"/>
          <w:lang w:eastAsia="en-GB"/>
        </w:rPr>
        <w:footnoteReference w:id="9"/>
      </w:r>
      <w:r w:rsidR="00E12A25" w:rsidRPr="00B667C4">
        <w:rPr>
          <w:rFonts w:asciiTheme="minorHAnsi" w:hAnsiTheme="minorHAnsi" w:cstheme="minorHAnsi"/>
          <w:color w:val="000000" w:themeColor="text1"/>
          <w:sz w:val="22"/>
        </w:rPr>
        <w:t xml:space="preserve"> </w:t>
      </w:r>
      <w:r w:rsidR="00BF4828" w:rsidRPr="00B667C4">
        <w:rPr>
          <w:rFonts w:asciiTheme="minorHAnsi" w:hAnsiTheme="minorHAnsi" w:cstheme="minorHAnsi"/>
          <w:color w:val="000000" w:themeColor="text1"/>
          <w:sz w:val="22"/>
        </w:rPr>
        <w:t xml:space="preserve">Properly managed and funded the ATFF could serve as an operational framework for monitoring and peer-pressure for advancing the continental trade facilitation agenda. ATFF would be even more effective if preceded by similar process at the level of each regional economic community. </w:t>
      </w:r>
      <w:r w:rsidR="008A33DE" w:rsidRPr="00B667C4">
        <w:rPr>
          <w:rFonts w:asciiTheme="minorHAnsi" w:hAnsiTheme="minorHAnsi" w:cstheme="minorHAnsi"/>
          <w:color w:val="000000" w:themeColor="text1"/>
          <w:sz w:val="22"/>
        </w:rPr>
        <w:t xml:space="preserve">Initiatives such as the ATFF need to be supported by research </w:t>
      </w:r>
      <w:r w:rsidR="00271B5D" w:rsidRPr="00B667C4">
        <w:rPr>
          <w:rFonts w:asciiTheme="minorHAnsi" w:hAnsiTheme="minorHAnsi" w:cstheme="minorHAnsi"/>
          <w:color w:val="000000" w:themeColor="text1"/>
          <w:sz w:val="22"/>
        </w:rPr>
        <w:t xml:space="preserve">on the </w:t>
      </w:r>
      <w:r w:rsidR="00B76432" w:rsidRPr="00B667C4">
        <w:rPr>
          <w:rFonts w:asciiTheme="minorHAnsi" w:hAnsiTheme="minorHAnsi" w:cstheme="minorHAnsi"/>
          <w:sz w:val="22"/>
        </w:rPr>
        <w:t xml:space="preserve">channels through which reduction in trade costs promotes trade and increases productivity. </w:t>
      </w:r>
    </w:p>
    <w:p w14:paraId="44F45178" w14:textId="2D806A50" w:rsidR="0020424E" w:rsidRPr="00B667C4" w:rsidRDefault="0020424E" w:rsidP="0020424E">
      <w:pPr>
        <w:spacing w:after="120" w:line="276" w:lineRule="auto"/>
        <w:rPr>
          <w:rFonts w:asciiTheme="minorHAnsi" w:eastAsia="Times New Roman" w:hAnsiTheme="minorHAnsi" w:cstheme="minorHAnsi"/>
          <w:color w:val="000000" w:themeColor="text1"/>
          <w:sz w:val="22"/>
        </w:rPr>
      </w:pPr>
      <w:r w:rsidRPr="00B667C4">
        <w:rPr>
          <w:rFonts w:asciiTheme="minorHAnsi" w:hAnsiTheme="minorHAnsi" w:cstheme="minorHAnsi"/>
          <w:color w:val="000000" w:themeColor="text1"/>
          <w:sz w:val="22"/>
        </w:rPr>
        <w:t>Ultimately successful trade facilitation reform requires profiling existing interests, motivations, and priorities, incentives and pressures under which the stakeholders operate. There is a dearth of detailed political economy analyses of specific trade facilitation incentives in Africa.</w:t>
      </w:r>
      <w:r w:rsidRPr="00B667C4">
        <w:rPr>
          <w:rStyle w:val="FootnoteReference"/>
          <w:rFonts w:asciiTheme="minorHAnsi" w:hAnsiTheme="minorHAnsi" w:cstheme="minorHAnsi"/>
          <w:color w:val="000000" w:themeColor="text1"/>
          <w:sz w:val="22"/>
        </w:rPr>
        <w:footnoteReference w:id="10"/>
      </w:r>
      <w:r w:rsidRPr="00B667C4">
        <w:rPr>
          <w:rFonts w:asciiTheme="minorHAnsi" w:hAnsiTheme="minorHAnsi" w:cstheme="minorHAnsi"/>
          <w:color w:val="000000" w:themeColor="text1"/>
          <w:sz w:val="22"/>
        </w:rPr>
        <w:t xml:space="preserve"> Such analysis will require high level commitment to provide the necessary political support to undertaking political-economy focused research that includes a focus on all the stakeholders including those operating informally. Opposition to reform often arises from lower levels in the bureaucracy and those operating at the margins of the formal structures. Better understanding and consideration of how the institutional power play between all stakeholders can be accommodated is necessary. </w:t>
      </w:r>
      <w:r w:rsidRPr="00B667C4">
        <w:rPr>
          <w:rFonts w:asciiTheme="minorHAnsi" w:hAnsiTheme="minorHAnsi" w:cstheme="minorHAnsi"/>
          <w:bCs/>
          <w:color w:val="000000" w:themeColor="text1"/>
          <w:sz w:val="22"/>
        </w:rPr>
        <w:t>A related challenge is designing interventions that will do the most to support trade expansion and thus associated investment and employment creation. From a policy identification and accountability perspective deliberative mechanisms that involve stakeholders can be valuable in bringing together a constituency that will actively support reforms and help avoid a narrow technical approach to trade facilitation</w:t>
      </w:r>
      <w:r w:rsidRPr="00B667C4">
        <w:rPr>
          <w:rFonts w:asciiTheme="minorHAnsi" w:hAnsiTheme="minorHAnsi" w:cstheme="minorHAnsi"/>
          <w:color w:val="000000" w:themeColor="text1"/>
          <w:sz w:val="22"/>
        </w:rPr>
        <w:t xml:space="preserve">. </w:t>
      </w:r>
      <w:r w:rsidRPr="00B667C4">
        <w:rPr>
          <w:rFonts w:asciiTheme="minorHAnsi" w:eastAsia="Times New Roman" w:hAnsiTheme="minorHAnsi" w:cstheme="minorHAnsi"/>
          <w:color w:val="000000" w:themeColor="text1"/>
          <w:sz w:val="22"/>
        </w:rPr>
        <w:t xml:space="preserve">Research is needed on how mechanisms such as the ATFF can be designed in SSA countries to operate efficiently and effectively; including insulating the process against capture by vested interests, generating the information that is needed for informed discussion and decision-making (often missing or inaccurate at present) and identifying how legal and regulatory regimes negatively impact on sound business planning, raise operating costs and thus undermine competitiveness. This is in part a mechanism design question. It includes issues such as the appropriate legal and regulatory regimes, and assessing how stakeholders can be given greater certainty that implementation of agreed action agendas will be monitored and there will be greater accountability for results. </w:t>
      </w:r>
    </w:p>
    <w:p w14:paraId="08E342B7" w14:textId="09DAF542" w:rsidR="00666358" w:rsidRPr="00B667C4" w:rsidRDefault="00666358" w:rsidP="003163C6">
      <w:pPr>
        <w:pStyle w:val="ListParagraph"/>
        <w:numPr>
          <w:ilvl w:val="0"/>
          <w:numId w:val="17"/>
        </w:numPr>
        <w:spacing w:before="240" w:after="120" w:line="276" w:lineRule="auto"/>
        <w:contextualSpacing w:val="0"/>
        <w:rPr>
          <w:rFonts w:asciiTheme="minorHAnsi" w:hAnsiTheme="minorHAnsi" w:cstheme="minorHAnsi"/>
          <w:b/>
          <w:color w:val="000000" w:themeColor="text1"/>
          <w:sz w:val="22"/>
        </w:rPr>
      </w:pPr>
      <w:r w:rsidRPr="00B667C4">
        <w:rPr>
          <w:rFonts w:asciiTheme="minorHAnsi" w:hAnsiTheme="minorHAnsi" w:cstheme="minorHAnsi"/>
          <w:b/>
          <w:color w:val="000000" w:themeColor="text1"/>
          <w:sz w:val="22"/>
        </w:rPr>
        <w:t>Conclu</w:t>
      </w:r>
      <w:r w:rsidR="006756F1">
        <w:rPr>
          <w:rFonts w:asciiTheme="minorHAnsi" w:hAnsiTheme="minorHAnsi" w:cstheme="minorHAnsi"/>
          <w:b/>
          <w:color w:val="000000" w:themeColor="text1"/>
          <w:sz w:val="22"/>
        </w:rPr>
        <w:t>ding remarks</w:t>
      </w:r>
    </w:p>
    <w:p w14:paraId="67B89BB2" w14:textId="77777777" w:rsidR="00D75EEE" w:rsidRPr="00B667C4" w:rsidRDefault="00535CA2" w:rsidP="003163C6">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 xml:space="preserve">Trade has been a driver of growth and development for many Asian countries as well as countries in other regions. Trade has been less of a force for sustained growth in most SSA countries. There is great potential for a step increase in trade </w:t>
      </w:r>
      <w:r w:rsidR="00D75EEE" w:rsidRPr="00B667C4">
        <w:rPr>
          <w:rFonts w:asciiTheme="minorHAnsi" w:hAnsiTheme="minorHAnsi" w:cstheme="minorHAnsi"/>
          <w:color w:val="000000" w:themeColor="text1"/>
          <w:sz w:val="22"/>
        </w:rPr>
        <w:t xml:space="preserve">by and between </w:t>
      </w:r>
      <w:r w:rsidRPr="00B667C4">
        <w:rPr>
          <w:rFonts w:asciiTheme="minorHAnsi" w:hAnsiTheme="minorHAnsi" w:cstheme="minorHAnsi"/>
          <w:color w:val="000000" w:themeColor="text1"/>
          <w:sz w:val="22"/>
        </w:rPr>
        <w:t>SSA</w:t>
      </w:r>
      <w:r w:rsidR="00D75EEE" w:rsidRPr="00B667C4">
        <w:rPr>
          <w:rFonts w:asciiTheme="minorHAnsi" w:hAnsiTheme="minorHAnsi" w:cstheme="minorHAnsi"/>
          <w:color w:val="000000" w:themeColor="text1"/>
          <w:sz w:val="22"/>
        </w:rPr>
        <w:t xml:space="preserve"> economies and for greater trade and cross-border investment to be a means for achieving the SDGs. A necessary condition is to substantially lower trade costs through measures to facilitate trade. This is an agenda that goes beyond enhancing the efficiency of customs clearance and reducing corruption at the border and associated red tape costs. It includes a significant hard infrastructure investment agenda as well as a large set of complementary ‘soft infrastructure’ measures that impact on the movement of goods and services. Barriers to trade and investment in services are a critical part of the trade competitiveness agenda. </w:t>
      </w:r>
    </w:p>
    <w:p w14:paraId="24E0D55F" w14:textId="77777777" w:rsidR="00D34F45" w:rsidRPr="00B667C4" w:rsidRDefault="00D34F45" w:rsidP="00D34F45">
      <w:pPr>
        <w:spacing w:after="120" w:line="276" w:lineRule="auto"/>
        <w:rPr>
          <w:rFonts w:asciiTheme="minorHAnsi" w:hAnsiTheme="minorHAnsi" w:cstheme="minorHAnsi"/>
          <w:color w:val="000000" w:themeColor="text1"/>
          <w:sz w:val="22"/>
        </w:rPr>
      </w:pPr>
      <w:r w:rsidRPr="00B667C4">
        <w:rPr>
          <w:rFonts w:asciiTheme="minorHAnsi" w:hAnsiTheme="minorHAnsi" w:cstheme="minorHAnsi"/>
          <w:sz w:val="22"/>
        </w:rPr>
        <w:t xml:space="preserve">Trade costs can affect trade in at least four ways. First, high trade costs discourage the production of export oriented goods. Second, they can result in trade-diversion, inducing demand to shift away from the lowest-cost suppliers. Third, they may generate deadweight losses for export-oriented production firms that that have to incur them. Fourth, they inhibit access to inputs, intermediary goods and capital goods, either in the form of higher prices or less choice (variety). Eaton and Kortum (2001) find that 25 percent of cross-country differences in productivity can be attributed to price differences for capital goods, and that about half of these price differences are caused by trade barriers. </w:t>
      </w:r>
      <w:r w:rsidRPr="00B667C4">
        <w:rPr>
          <w:rFonts w:asciiTheme="minorHAnsi" w:hAnsiTheme="minorHAnsi" w:cstheme="minorHAnsi"/>
          <w:color w:val="000000" w:themeColor="text1"/>
          <w:sz w:val="22"/>
        </w:rPr>
        <w:t xml:space="preserve">The growing interdependence between manufacturing and services calls for policies that take this reality into account. </w:t>
      </w:r>
      <w:r w:rsidRPr="00B667C4">
        <w:rPr>
          <w:rFonts w:asciiTheme="minorHAnsi" w:hAnsiTheme="minorHAnsi" w:cstheme="minorHAnsi"/>
          <w:bCs/>
          <w:color w:val="000000" w:themeColor="text1"/>
          <w:sz w:val="22"/>
        </w:rPr>
        <w:t xml:space="preserve">Trade and industrial policies need to focus on </w:t>
      </w:r>
      <w:r w:rsidRPr="00B667C4">
        <w:rPr>
          <w:rFonts w:asciiTheme="minorHAnsi" w:hAnsiTheme="minorHAnsi" w:cstheme="minorHAnsi"/>
          <w:iCs/>
          <w:color w:val="000000" w:themeColor="text1"/>
          <w:sz w:val="22"/>
        </w:rPr>
        <w:t>goods AND services, rather than goods OR services</w:t>
      </w:r>
      <w:r w:rsidRPr="00B667C4">
        <w:rPr>
          <w:rFonts w:asciiTheme="minorHAnsi" w:hAnsiTheme="minorHAnsi" w:cstheme="minorHAnsi"/>
          <w:i/>
          <w:iCs/>
          <w:color w:val="000000" w:themeColor="text1"/>
          <w:sz w:val="22"/>
        </w:rPr>
        <w:t xml:space="preserve"> </w:t>
      </w:r>
      <w:r w:rsidRPr="00B667C4">
        <w:rPr>
          <w:rFonts w:asciiTheme="minorHAnsi" w:hAnsiTheme="minorHAnsi" w:cstheme="minorHAnsi"/>
          <w:iCs/>
          <w:color w:val="000000" w:themeColor="text1"/>
          <w:sz w:val="22"/>
        </w:rPr>
        <w:t xml:space="preserve">with attention on </w:t>
      </w:r>
      <w:r w:rsidRPr="00B667C4">
        <w:rPr>
          <w:rFonts w:asciiTheme="minorHAnsi" w:hAnsiTheme="minorHAnsi" w:cstheme="minorHAnsi"/>
          <w:color w:val="000000" w:themeColor="text1"/>
          <w:sz w:val="22"/>
        </w:rPr>
        <w:t>removing obstacles to both types of activities, as that is what matters to business in the 21</w:t>
      </w:r>
      <w:r w:rsidRPr="00B667C4">
        <w:rPr>
          <w:rFonts w:asciiTheme="minorHAnsi" w:hAnsiTheme="minorHAnsi" w:cstheme="minorHAnsi"/>
          <w:color w:val="000000" w:themeColor="text1"/>
          <w:sz w:val="22"/>
          <w:vertAlign w:val="superscript"/>
        </w:rPr>
        <w:t>st</w:t>
      </w:r>
      <w:r w:rsidRPr="00B667C4">
        <w:rPr>
          <w:rFonts w:asciiTheme="minorHAnsi" w:hAnsiTheme="minorHAnsi" w:cstheme="minorHAnsi"/>
          <w:color w:val="000000" w:themeColor="text1"/>
          <w:sz w:val="22"/>
        </w:rPr>
        <w:t xml:space="preserve"> century. </w:t>
      </w:r>
    </w:p>
    <w:p w14:paraId="3917A93F" w14:textId="60666956" w:rsidR="00D34F45" w:rsidRPr="00B667C4" w:rsidRDefault="00D34F45" w:rsidP="00D34F45">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 xml:space="preserve">The upshot is a need for a different policy regime than what has been implemented so far in Africa, one that emphasizes the role of manufacturing firms both as buyers as well as suppliers and that recognizes the centrality of services. These global developments give rise to many questions, including how servicification is linked to sustainable development in the context of African countries; the role of servicification for natural and mineral resource dependent economies; how transport and other logistics services can support attainment of the SDGs; identification of the most important sources of trade costs in SSA countries and regions, including policies affecting (trade in) services; design of monitoring and evaluation of policy reforms and AFT interventions in areas that are currently neglected – such as services. </w:t>
      </w:r>
    </w:p>
    <w:p w14:paraId="31AA50BB" w14:textId="491BD64F" w:rsidR="004B3766" w:rsidRPr="00B667C4" w:rsidRDefault="00D75EEE" w:rsidP="00EF107A">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 xml:space="preserve">Much research has been done in recent years that has shown the economic importance of trade costs and measures to facilitate trade. Much of this has been ‘macro’ in nature in the sense of using firm-level data or trade data to assess the effects of country-level policies or </w:t>
      </w:r>
      <w:r w:rsidR="004B3766" w:rsidRPr="00B667C4">
        <w:rPr>
          <w:rFonts w:asciiTheme="minorHAnsi" w:hAnsiTheme="minorHAnsi" w:cstheme="minorHAnsi"/>
          <w:color w:val="000000" w:themeColor="text1"/>
          <w:sz w:val="22"/>
        </w:rPr>
        <w:t xml:space="preserve">trade policy-related dimensions of </w:t>
      </w:r>
      <w:r w:rsidRPr="00B667C4">
        <w:rPr>
          <w:rFonts w:asciiTheme="minorHAnsi" w:hAnsiTheme="minorHAnsi" w:cstheme="minorHAnsi"/>
          <w:color w:val="000000" w:themeColor="text1"/>
          <w:sz w:val="22"/>
        </w:rPr>
        <w:t>the investment climate</w:t>
      </w:r>
      <w:r w:rsidR="004B3766" w:rsidRPr="00B667C4">
        <w:rPr>
          <w:rFonts w:asciiTheme="minorHAnsi" w:hAnsiTheme="minorHAnsi" w:cstheme="minorHAnsi"/>
          <w:color w:val="000000" w:themeColor="text1"/>
          <w:sz w:val="22"/>
        </w:rPr>
        <w:t xml:space="preserve">. The agenda looking forward is to do more to assess the effects of specific projects </w:t>
      </w:r>
      <w:r w:rsidR="00EF107A" w:rsidRPr="00B667C4">
        <w:rPr>
          <w:rFonts w:asciiTheme="minorHAnsi" w:hAnsiTheme="minorHAnsi" w:cstheme="minorHAnsi"/>
          <w:color w:val="000000" w:themeColor="text1"/>
          <w:sz w:val="22"/>
        </w:rPr>
        <w:t xml:space="preserve">and </w:t>
      </w:r>
      <w:r w:rsidR="004B3766" w:rsidRPr="00B667C4">
        <w:rPr>
          <w:rFonts w:asciiTheme="minorHAnsi" w:hAnsiTheme="minorHAnsi" w:cstheme="minorHAnsi"/>
          <w:color w:val="000000" w:themeColor="text1"/>
          <w:sz w:val="22"/>
        </w:rPr>
        <w:t>initiative</w:t>
      </w:r>
      <w:r w:rsidR="00EF107A" w:rsidRPr="00B667C4">
        <w:rPr>
          <w:rFonts w:asciiTheme="minorHAnsi" w:hAnsiTheme="minorHAnsi" w:cstheme="minorHAnsi"/>
          <w:color w:val="000000" w:themeColor="text1"/>
          <w:sz w:val="22"/>
        </w:rPr>
        <w:t>s</w:t>
      </w:r>
      <w:r w:rsidR="004B3766" w:rsidRPr="00B667C4">
        <w:rPr>
          <w:rFonts w:asciiTheme="minorHAnsi" w:hAnsiTheme="minorHAnsi" w:cstheme="minorHAnsi"/>
          <w:color w:val="000000" w:themeColor="text1"/>
          <w:sz w:val="22"/>
        </w:rPr>
        <w:t xml:space="preserve"> that aim to lower trade costs and to focus more on how policies (and projects) impact on the operation of supply chains. </w:t>
      </w:r>
      <w:r w:rsidRPr="00B667C4">
        <w:rPr>
          <w:rFonts w:asciiTheme="minorHAnsi" w:hAnsiTheme="minorHAnsi" w:cstheme="minorHAnsi"/>
          <w:color w:val="000000" w:themeColor="text1"/>
          <w:sz w:val="22"/>
        </w:rPr>
        <w:t xml:space="preserve"> </w:t>
      </w:r>
      <w:r w:rsidR="004B3766" w:rsidRPr="00B667C4">
        <w:rPr>
          <w:rFonts w:asciiTheme="minorHAnsi" w:hAnsiTheme="minorHAnsi" w:cstheme="minorHAnsi"/>
          <w:color w:val="000000" w:themeColor="text1"/>
          <w:sz w:val="22"/>
        </w:rPr>
        <w:t>The same applies to services. Better understanding of the role that services – and services trade policies – play as determinants of trade operating costs</w:t>
      </w:r>
      <w:r w:rsidR="00EF107A" w:rsidRPr="00B667C4">
        <w:rPr>
          <w:rFonts w:asciiTheme="minorHAnsi" w:hAnsiTheme="minorHAnsi" w:cstheme="minorHAnsi"/>
          <w:color w:val="000000" w:themeColor="text1"/>
          <w:sz w:val="22"/>
        </w:rPr>
        <w:t xml:space="preserve"> and how this is affected by economic governance and sectoral regulation</w:t>
      </w:r>
      <w:r w:rsidR="004B3766" w:rsidRPr="00B667C4">
        <w:rPr>
          <w:rFonts w:asciiTheme="minorHAnsi" w:hAnsiTheme="minorHAnsi" w:cstheme="minorHAnsi"/>
          <w:color w:val="000000" w:themeColor="text1"/>
          <w:sz w:val="22"/>
        </w:rPr>
        <w:t xml:space="preserve"> is an important area for research. </w:t>
      </w:r>
    </w:p>
    <w:p w14:paraId="5BE98AE5" w14:textId="65F978A0" w:rsidR="00197749" w:rsidRPr="00B667C4" w:rsidRDefault="004949F2" w:rsidP="00EF107A">
      <w:pPr>
        <w:spacing w:after="120" w:line="276" w:lineRule="auto"/>
        <w:rPr>
          <w:rFonts w:asciiTheme="minorHAnsi" w:hAnsiTheme="minorHAnsi" w:cstheme="minorHAnsi"/>
          <w:color w:val="000000" w:themeColor="text1"/>
          <w:sz w:val="22"/>
        </w:rPr>
      </w:pPr>
      <w:r w:rsidRPr="00B667C4">
        <w:rPr>
          <w:rFonts w:asciiTheme="minorHAnsi" w:hAnsiTheme="minorHAnsi" w:cstheme="minorHAnsi"/>
          <w:color w:val="000000" w:themeColor="text1"/>
          <w:sz w:val="22"/>
        </w:rPr>
        <w:t>Several</w:t>
      </w:r>
      <w:r w:rsidR="004B3766" w:rsidRPr="00B667C4">
        <w:rPr>
          <w:rFonts w:asciiTheme="minorHAnsi" w:hAnsiTheme="minorHAnsi" w:cstheme="minorHAnsi"/>
          <w:color w:val="000000" w:themeColor="text1"/>
          <w:sz w:val="22"/>
        </w:rPr>
        <w:t xml:space="preserve"> research areas that seem particularly salient to us have been </w:t>
      </w:r>
      <w:r w:rsidR="00EF107A" w:rsidRPr="00B667C4">
        <w:rPr>
          <w:rFonts w:asciiTheme="minorHAnsi" w:hAnsiTheme="minorHAnsi" w:cstheme="minorHAnsi"/>
          <w:color w:val="000000" w:themeColor="text1"/>
          <w:sz w:val="22"/>
        </w:rPr>
        <w:t xml:space="preserve">highlighted </w:t>
      </w:r>
      <w:r w:rsidR="004B3766" w:rsidRPr="00B667C4">
        <w:rPr>
          <w:rFonts w:asciiTheme="minorHAnsi" w:hAnsiTheme="minorHAnsi" w:cstheme="minorHAnsi"/>
          <w:color w:val="000000" w:themeColor="text1"/>
          <w:sz w:val="22"/>
        </w:rPr>
        <w:t>in this paper</w:t>
      </w:r>
      <w:r w:rsidR="00EF107A" w:rsidRPr="00B667C4">
        <w:rPr>
          <w:rFonts w:asciiTheme="minorHAnsi" w:hAnsiTheme="minorHAnsi" w:cstheme="minorHAnsi"/>
          <w:color w:val="000000" w:themeColor="text1"/>
          <w:sz w:val="22"/>
        </w:rPr>
        <w:t xml:space="preserve">. There </w:t>
      </w:r>
      <w:r w:rsidR="004B3766" w:rsidRPr="00B667C4">
        <w:rPr>
          <w:rFonts w:asciiTheme="minorHAnsi" w:hAnsiTheme="minorHAnsi" w:cstheme="minorHAnsi"/>
          <w:color w:val="000000" w:themeColor="text1"/>
          <w:sz w:val="22"/>
        </w:rPr>
        <w:t>are many more. As ever, what can be done is a function of the data that are available. Major improvements have occurred in this regard in the last decade or so, both in terms of firm-level datasets and in terms of information on applied services trade policies, logistics performance indicators, trade facilitation indicators and trade costs.  But large data gaps remain, which will need to be filled through additional data collection efforts – e.g., a greater focus on services use and sales in enterprise surveys</w:t>
      </w:r>
      <w:r w:rsidR="00341735" w:rsidRPr="00B667C4">
        <w:rPr>
          <w:rFonts w:asciiTheme="minorHAnsi" w:hAnsiTheme="minorHAnsi" w:cstheme="minorHAnsi"/>
          <w:color w:val="000000" w:themeColor="text1"/>
          <w:sz w:val="22"/>
        </w:rPr>
        <w:t xml:space="preserve"> – and greater engagement by researchers to evaluate </w:t>
      </w:r>
      <w:r w:rsidR="00EF107A" w:rsidRPr="00B667C4">
        <w:rPr>
          <w:rFonts w:asciiTheme="minorHAnsi" w:hAnsiTheme="minorHAnsi" w:cstheme="minorHAnsi"/>
          <w:color w:val="000000" w:themeColor="text1"/>
          <w:sz w:val="22"/>
        </w:rPr>
        <w:t xml:space="preserve">the impacts of trade costs and the results of </w:t>
      </w:r>
      <w:r w:rsidR="00341735" w:rsidRPr="00B667C4">
        <w:rPr>
          <w:rFonts w:asciiTheme="minorHAnsi" w:hAnsiTheme="minorHAnsi" w:cstheme="minorHAnsi"/>
          <w:color w:val="000000" w:themeColor="text1"/>
          <w:sz w:val="22"/>
        </w:rPr>
        <w:t xml:space="preserve">trade facilitation programs. </w:t>
      </w:r>
    </w:p>
    <w:p w14:paraId="165E39D5" w14:textId="77777777" w:rsidR="004B3766" w:rsidRPr="00B667C4" w:rsidRDefault="004B3766" w:rsidP="003163C6">
      <w:pPr>
        <w:spacing w:after="120" w:line="276" w:lineRule="auto"/>
        <w:rPr>
          <w:rFonts w:asciiTheme="minorHAnsi" w:hAnsiTheme="minorHAnsi" w:cstheme="minorHAnsi"/>
          <w:color w:val="000000" w:themeColor="text1"/>
          <w:sz w:val="22"/>
        </w:rPr>
      </w:pPr>
    </w:p>
    <w:p w14:paraId="1485801D" w14:textId="77777777" w:rsidR="005B0DEA" w:rsidRPr="00B667C4" w:rsidRDefault="005B0DEA" w:rsidP="003163C6">
      <w:pPr>
        <w:spacing w:after="120" w:line="276" w:lineRule="auto"/>
        <w:rPr>
          <w:rFonts w:asciiTheme="minorHAnsi" w:hAnsiTheme="minorHAnsi" w:cstheme="minorHAnsi"/>
          <w:b/>
          <w:color w:val="000000"/>
          <w:sz w:val="22"/>
        </w:rPr>
      </w:pPr>
      <w:r w:rsidRPr="00B667C4">
        <w:rPr>
          <w:rFonts w:asciiTheme="minorHAnsi" w:hAnsiTheme="minorHAnsi" w:cstheme="minorHAnsi"/>
          <w:b/>
          <w:color w:val="000000"/>
          <w:sz w:val="22"/>
        </w:rPr>
        <w:t>References</w:t>
      </w:r>
    </w:p>
    <w:p w14:paraId="2BAC2F2A" w14:textId="53E4018D" w:rsidR="009F1B4C" w:rsidRPr="00B667C4" w:rsidRDefault="009F1B4C" w:rsidP="006D2639">
      <w:pPr>
        <w:autoSpaceDE w:val="0"/>
        <w:autoSpaceDN w:val="0"/>
        <w:adjustRightInd w:val="0"/>
        <w:ind w:left="720" w:hanging="720"/>
        <w:rPr>
          <w:rFonts w:asciiTheme="minorHAnsi" w:hAnsiTheme="minorHAnsi" w:cstheme="minorHAnsi"/>
          <w:sz w:val="22"/>
        </w:rPr>
      </w:pPr>
      <w:r w:rsidRPr="00B667C4">
        <w:rPr>
          <w:rFonts w:asciiTheme="minorHAnsi" w:hAnsiTheme="minorHAnsi" w:cstheme="minorHAnsi"/>
          <w:sz w:val="22"/>
        </w:rPr>
        <w:t>Abidjan–</w:t>
      </w:r>
      <w:r w:rsidR="004949F2" w:rsidRPr="00B667C4">
        <w:rPr>
          <w:rFonts w:asciiTheme="minorHAnsi" w:hAnsiTheme="minorHAnsi" w:cstheme="minorHAnsi"/>
          <w:sz w:val="22"/>
        </w:rPr>
        <w:t>Lagos</w:t>
      </w:r>
      <w:r w:rsidRPr="00B667C4">
        <w:rPr>
          <w:rFonts w:asciiTheme="minorHAnsi" w:hAnsiTheme="minorHAnsi" w:cstheme="minorHAnsi"/>
          <w:sz w:val="22"/>
        </w:rPr>
        <w:t xml:space="preserve"> (ALCO)</w:t>
      </w:r>
      <w:r w:rsidR="00D700A2" w:rsidRPr="00B667C4">
        <w:rPr>
          <w:rFonts w:asciiTheme="minorHAnsi" w:hAnsiTheme="minorHAnsi" w:cstheme="minorHAnsi"/>
          <w:sz w:val="22"/>
        </w:rPr>
        <w:t>,</w:t>
      </w:r>
      <w:r w:rsidRPr="00B667C4">
        <w:rPr>
          <w:rFonts w:asciiTheme="minorHAnsi" w:hAnsiTheme="minorHAnsi" w:cstheme="minorHAnsi"/>
          <w:sz w:val="22"/>
        </w:rPr>
        <w:t xml:space="preserve"> 2016</w:t>
      </w:r>
      <w:r w:rsidR="00D700A2" w:rsidRPr="00B667C4">
        <w:rPr>
          <w:rFonts w:asciiTheme="minorHAnsi" w:hAnsiTheme="minorHAnsi" w:cstheme="minorHAnsi"/>
          <w:sz w:val="22"/>
        </w:rPr>
        <w:t>,</w:t>
      </w:r>
      <w:r w:rsidRPr="00B667C4">
        <w:rPr>
          <w:rFonts w:asciiTheme="minorHAnsi" w:hAnsiTheme="minorHAnsi" w:cstheme="minorHAnsi"/>
          <w:sz w:val="22"/>
        </w:rPr>
        <w:t xml:space="preserve"> “Rapport de Performance Secretariat Exec</w:t>
      </w:r>
      <w:r w:rsidR="00D700A2" w:rsidRPr="00B667C4">
        <w:rPr>
          <w:rFonts w:asciiTheme="minorHAnsi" w:hAnsiTheme="minorHAnsi" w:cstheme="minorHAnsi"/>
          <w:sz w:val="22"/>
        </w:rPr>
        <w:t>utif,</w:t>
      </w:r>
      <w:r w:rsidRPr="00B667C4">
        <w:rPr>
          <w:rFonts w:asciiTheme="minorHAnsi" w:hAnsiTheme="minorHAnsi" w:cstheme="minorHAnsi"/>
          <w:sz w:val="22"/>
        </w:rPr>
        <w:t>”</w:t>
      </w:r>
      <w:r w:rsidR="004949F2" w:rsidRPr="00B667C4">
        <w:rPr>
          <w:rFonts w:asciiTheme="minorHAnsi" w:hAnsiTheme="minorHAnsi" w:cstheme="minorHAnsi"/>
          <w:sz w:val="22"/>
        </w:rPr>
        <w:t xml:space="preserve"> Annual report dissemination workshop, Cotonou 29-30 September.</w:t>
      </w:r>
    </w:p>
    <w:p w14:paraId="7B659037" w14:textId="6EB833E8" w:rsidR="0084124E" w:rsidRPr="00B667C4" w:rsidRDefault="004E2D20" w:rsidP="006D2639">
      <w:pPr>
        <w:autoSpaceDE w:val="0"/>
        <w:autoSpaceDN w:val="0"/>
        <w:adjustRightInd w:val="0"/>
        <w:ind w:left="720" w:hanging="720"/>
        <w:rPr>
          <w:rFonts w:asciiTheme="minorHAnsi" w:hAnsiTheme="minorHAnsi" w:cstheme="minorHAnsi"/>
          <w:sz w:val="22"/>
        </w:rPr>
      </w:pPr>
      <w:r w:rsidRPr="00B667C4">
        <w:rPr>
          <w:rFonts w:asciiTheme="minorHAnsi" w:hAnsiTheme="minorHAnsi" w:cstheme="minorHAnsi"/>
          <w:sz w:val="22"/>
        </w:rPr>
        <w:t xml:space="preserve">ACET. 2014. </w:t>
      </w:r>
      <w:r w:rsidRPr="00B667C4">
        <w:rPr>
          <w:rFonts w:asciiTheme="minorHAnsi" w:hAnsiTheme="minorHAnsi" w:cstheme="minorHAnsi"/>
          <w:i/>
          <w:iCs/>
          <w:sz w:val="22"/>
        </w:rPr>
        <w:t>African Transformation Report 2014: Growth with Depth</w:t>
      </w:r>
      <w:r w:rsidRPr="00B667C4">
        <w:rPr>
          <w:rFonts w:asciiTheme="minorHAnsi" w:hAnsiTheme="minorHAnsi" w:cstheme="minorHAnsi"/>
          <w:sz w:val="22"/>
        </w:rPr>
        <w:t>. Accra: African Center for Economic Transformation.</w:t>
      </w:r>
    </w:p>
    <w:p w14:paraId="27EA37A3" w14:textId="77777777" w:rsidR="004E2D20" w:rsidRPr="00B667C4" w:rsidRDefault="004E2D20" w:rsidP="006D2639">
      <w:pPr>
        <w:autoSpaceDE w:val="0"/>
        <w:autoSpaceDN w:val="0"/>
        <w:adjustRightInd w:val="0"/>
        <w:ind w:left="720" w:hanging="720"/>
        <w:rPr>
          <w:rFonts w:asciiTheme="minorHAnsi" w:hAnsiTheme="minorHAnsi" w:cstheme="minorHAnsi"/>
          <w:color w:val="000000"/>
          <w:sz w:val="22"/>
          <w:lang w:eastAsia="en-GB"/>
        </w:rPr>
      </w:pPr>
      <w:r w:rsidRPr="00B667C4">
        <w:rPr>
          <w:rFonts w:asciiTheme="minorHAnsi" w:hAnsiTheme="minorHAnsi" w:cstheme="minorHAnsi"/>
          <w:color w:val="000000"/>
          <w:sz w:val="22"/>
        </w:rPr>
        <w:t xml:space="preserve">Arnold, J., A. Mattoo, and G. Narciso. 2008. “Services Inputs and Firm Productivity in Sub-Saharan Africa: Evidence from Firm Level Data.” </w:t>
      </w:r>
      <w:r w:rsidRPr="00B667C4">
        <w:rPr>
          <w:rFonts w:asciiTheme="minorHAnsi" w:hAnsiTheme="minorHAnsi" w:cstheme="minorHAnsi"/>
          <w:i/>
          <w:color w:val="000000"/>
          <w:sz w:val="22"/>
        </w:rPr>
        <w:t>Journal of African Economies</w:t>
      </w:r>
      <w:r w:rsidRPr="00B667C4">
        <w:rPr>
          <w:rFonts w:asciiTheme="minorHAnsi" w:hAnsiTheme="minorHAnsi" w:cstheme="minorHAnsi"/>
          <w:color w:val="000000"/>
          <w:sz w:val="22"/>
        </w:rPr>
        <w:t xml:space="preserve"> 17 (4): 578–99. </w:t>
      </w:r>
    </w:p>
    <w:p w14:paraId="49A6F023" w14:textId="6D0AD399" w:rsidR="004E2D20" w:rsidRPr="00B667C4" w:rsidRDefault="004E2D20" w:rsidP="006D2639">
      <w:pPr>
        <w:autoSpaceDE w:val="0"/>
        <w:autoSpaceDN w:val="0"/>
        <w:adjustRightInd w:val="0"/>
        <w:ind w:left="720" w:hanging="720"/>
        <w:rPr>
          <w:rFonts w:asciiTheme="minorHAnsi" w:hAnsiTheme="minorHAnsi" w:cstheme="minorHAnsi"/>
          <w:color w:val="000000"/>
          <w:sz w:val="22"/>
          <w:lang w:eastAsia="en-GB"/>
        </w:rPr>
      </w:pPr>
      <w:r w:rsidRPr="00B667C4">
        <w:rPr>
          <w:rFonts w:asciiTheme="minorHAnsi" w:hAnsiTheme="minorHAnsi" w:cstheme="minorHAnsi"/>
          <w:color w:val="000000"/>
          <w:sz w:val="22"/>
        </w:rPr>
        <w:t xml:space="preserve">Arnold, J., B. Javorcik, M. Lipscomb and A. Mattoo, 2015, Services Reform and Manufacturing Performance: Evidence from India. </w:t>
      </w:r>
      <w:r w:rsidRPr="00B667C4">
        <w:rPr>
          <w:rFonts w:asciiTheme="minorHAnsi" w:hAnsiTheme="minorHAnsi" w:cstheme="minorHAnsi"/>
          <w:i/>
          <w:color w:val="000000"/>
          <w:sz w:val="22"/>
        </w:rPr>
        <w:t>The Economic Journal</w:t>
      </w:r>
      <w:r w:rsidRPr="00B667C4">
        <w:rPr>
          <w:rFonts w:asciiTheme="minorHAnsi" w:hAnsiTheme="minorHAnsi" w:cstheme="minorHAnsi"/>
          <w:color w:val="000000"/>
          <w:sz w:val="22"/>
        </w:rPr>
        <w:t xml:space="preserve">, 126:1-39.  </w:t>
      </w:r>
    </w:p>
    <w:p w14:paraId="2457597D" w14:textId="3632E26D" w:rsidR="004E2D20" w:rsidRPr="00B667C4" w:rsidRDefault="004E2D20" w:rsidP="006D2639">
      <w:pPr>
        <w:autoSpaceDE w:val="0"/>
        <w:autoSpaceDN w:val="0"/>
        <w:adjustRightInd w:val="0"/>
        <w:ind w:left="720" w:hanging="720"/>
        <w:rPr>
          <w:rFonts w:asciiTheme="minorHAnsi" w:hAnsiTheme="minorHAnsi" w:cstheme="minorHAnsi"/>
          <w:color w:val="000000"/>
          <w:sz w:val="22"/>
        </w:rPr>
      </w:pPr>
      <w:r w:rsidRPr="00B667C4">
        <w:rPr>
          <w:rFonts w:asciiTheme="minorHAnsi" w:hAnsiTheme="minorHAnsi" w:cstheme="minorHAnsi"/>
          <w:color w:val="000000"/>
          <w:sz w:val="22"/>
        </w:rPr>
        <w:t>Arvis, J. F., Y. Duval, B. Shepherd, and C. Utoktham. 201</w:t>
      </w:r>
      <w:r w:rsidR="00E942A5">
        <w:rPr>
          <w:rFonts w:asciiTheme="minorHAnsi" w:hAnsiTheme="minorHAnsi" w:cstheme="minorHAnsi"/>
          <w:color w:val="000000"/>
          <w:sz w:val="22"/>
        </w:rPr>
        <w:t>6</w:t>
      </w:r>
      <w:r w:rsidRPr="00B667C4">
        <w:rPr>
          <w:rFonts w:asciiTheme="minorHAnsi" w:hAnsiTheme="minorHAnsi" w:cstheme="minorHAnsi"/>
          <w:color w:val="000000"/>
          <w:sz w:val="22"/>
        </w:rPr>
        <w:t xml:space="preserve">. "Trade Costs in the Developing World: 1995-2010," </w:t>
      </w:r>
      <w:r w:rsidRPr="00B667C4">
        <w:rPr>
          <w:rFonts w:asciiTheme="minorHAnsi" w:hAnsiTheme="minorHAnsi" w:cstheme="minorHAnsi"/>
          <w:i/>
          <w:color w:val="000000"/>
          <w:sz w:val="22"/>
        </w:rPr>
        <w:t>World Trade Review</w:t>
      </w:r>
      <w:r w:rsidRPr="00B667C4">
        <w:rPr>
          <w:rFonts w:asciiTheme="minorHAnsi" w:hAnsiTheme="minorHAnsi" w:cstheme="minorHAnsi"/>
          <w:color w:val="000000"/>
          <w:sz w:val="22"/>
        </w:rPr>
        <w:t xml:space="preserve">, </w:t>
      </w:r>
      <w:r w:rsidR="00E942A5">
        <w:rPr>
          <w:rFonts w:asciiTheme="minorHAnsi" w:hAnsiTheme="minorHAnsi" w:cstheme="minorHAnsi"/>
          <w:color w:val="000000"/>
          <w:sz w:val="22"/>
        </w:rPr>
        <w:t>15(3): 451-74.</w:t>
      </w:r>
    </w:p>
    <w:p w14:paraId="13065A1A" w14:textId="460D8608" w:rsidR="006D100E" w:rsidRPr="00B667C4" w:rsidRDefault="006D100E" w:rsidP="006D2639">
      <w:pPr>
        <w:ind w:left="720" w:hanging="720"/>
        <w:rPr>
          <w:rFonts w:asciiTheme="minorHAnsi" w:hAnsiTheme="minorHAnsi" w:cstheme="minorHAnsi"/>
          <w:color w:val="2A2A2A"/>
          <w:sz w:val="22"/>
          <w:shd w:val="clear" w:color="auto" w:fill="FFFFFF"/>
        </w:rPr>
      </w:pPr>
      <w:r w:rsidRPr="00B667C4">
        <w:rPr>
          <w:rFonts w:asciiTheme="minorHAnsi" w:hAnsiTheme="minorHAnsi" w:cstheme="minorHAnsi"/>
          <w:color w:val="2A2A2A"/>
          <w:sz w:val="22"/>
          <w:shd w:val="clear" w:color="auto" w:fill="FFFFFF"/>
        </w:rPr>
        <w:t>Balchin, N.</w:t>
      </w:r>
      <w:r w:rsidR="00C91D58" w:rsidRPr="00B667C4">
        <w:rPr>
          <w:rFonts w:asciiTheme="minorHAnsi" w:hAnsiTheme="minorHAnsi" w:cstheme="minorHAnsi"/>
          <w:color w:val="2A2A2A"/>
          <w:sz w:val="22"/>
          <w:shd w:val="clear" w:color="auto" w:fill="FFFFFF"/>
        </w:rPr>
        <w:t>,</w:t>
      </w:r>
      <w:r w:rsidRPr="00B667C4">
        <w:rPr>
          <w:rFonts w:asciiTheme="minorHAnsi" w:hAnsiTheme="minorHAnsi" w:cstheme="minorHAnsi"/>
          <w:color w:val="2A2A2A"/>
          <w:sz w:val="22"/>
          <w:shd w:val="clear" w:color="auto" w:fill="FFFFFF"/>
        </w:rPr>
        <w:t xml:space="preserve"> L. Edwards and A. Sundaram, 2015, “A Disaggregated Analysis of Product Price Integration in the Southern African Development Community,” </w:t>
      </w:r>
      <w:r w:rsidR="00036E84" w:rsidRPr="00B667C4">
        <w:rPr>
          <w:rStyle w:val="Emphasis"/>
          <w:rFonts w:asciiTheme="minorHAnsi" w:hAnsiTheme="minorHAnsi" w:cstheme="minorHAnsi"/>
          <w:color w:val="2A2A2A"/>
          <w:sz w:val="22"/>
          <w:bdr w:val="none" w:sz="0" w:space="0" w:color="auto" w:frame="1"/>
          <w:shd w:val="clear" w:color="auto" w:fill="FFFFFF"/>
        </w:rPr>
        <w:t xml:space="preserve">Journal of African Economics, </w:t>
      </w:r>
      <w:r w:rsidRPr="00B667C4">
        <w:rPr>
          <w:rFonts w:asciiTheme="minorHAnsi" w:hAnsiTheme="minorHAnsi" w:cstheme="minorHAnsi"/>
          <w:color w:val="2A2A2A"/>
          <w:sz w:val="22"/>
          <w:shd w:val="clear" w:color="auto" w:fill="FFFFFF"/>
        </w:rPr>
        <w:t>24 (3): 390-415.</w:t>
      </w:r>
    </w:p>
    <w:p w14:paraId="1CC943E3" w14:textId="11E82896" w:rsidR="00813228" w:rsidRPr="00B667C4" w:rsidRDefault="00813228" w:rsidP="006D2639">
      <w:pPr>
        <w:ind w:left="720" w:hanging="720"/>
        <w:rPr>
          <w:rFonts w:asciiTheme="minorHAnsi" w:hAnsiTheme="minorHAnsi" w:cstheme="minorHAnsi"/>
          <w:color w:val="2A2A2A"/>
          <w:sz w:val="22"/>
          <w:shd w:val="clear" w:color="auto" w:fill="FFFFFF"/>
        </w:rPr>
      </w:pPr>
      <w:r w:rsidRPr="00B667C4">
        <w:rPr>
          <w:rFonts w:asciiTheme="minorHAnsi" w:hAnsiTheme="minorHAnsi" w:cstheme="minorHAnsi"/>
          <w:color w:val="2A2A2A"/>
          <w:sz w:val="22"/>
          <w:shd w:val="clear" w:color="auto" w:fill="FFFFFF"/>
        </w:rPr>
        <w:t xml:space="preserve">Balistreri, E., D. Tarr and H. Yonezawa; </w:t>
      </w:r>
      <w:r w:rsidR="003C0ADC" w:rsidRPr="00B667C4">
        <w:rPr>
          <w:rFonts w:asciiTheme="minorHAnsi" w:hAnsiTheme="minorHAnsi" w:cstheme="minorHAnsi"/>
          <w:color w:val="2A2A2A"/>
          <w:sz w:val="22"/>
          <w:shd w:val="clear" w:color="auto" w:fill="FFFFFF"/>
        </w:rPr>
        <w:t>2015, “</w:t>
      </w:r>
      <w:r w:rsidRPr="00B667C4">
        <w:rPr>
          <w:rFonts w:asciiTheme="minorHAnsi" w:hAnsiTheme="minorHAnsi" w:cstheme="minorHAnsi"/>
          <w:color w:val="2A2A2A"/>
          <w:sz w:val="22"/>
          <w:shd w:val="clear" w:color="auto" w:fill="FFFFFF"/>
        </w:rPr>
        <w:t>Deep Integration in Eastern and Southern Africa: What are the Stakes?</w:t>
      </w:r>
      <w:r w:rsidR="003C0ADC" w:rsidRPr="00B667C4">
        <w:rPr>
          <w:rFonts w:asciiTheme="minorHAnsi" w:hAnsiTheme="minorHAnsi" w:cstheme="minorHAnsi"/>
          <w:color w:val="2A2A2A"/>
          <w:sz w:val="22"/>
          <w:shd w:val="clear" w:color="auto" w:fill="FFFFFF"/>
        </w:rPr>
        <w:t>,”</w:t>
      </w:r>
      <w:r w:rsidR="00036E84" w:rsidRPr="00B667C4">
        <w:rPr>
          <w:rFonts w:asciiTheme="minorHAnsi" w:hAnsiTheme="minorHAnsi" w:cstheme="minorHAnsi"/>
          <w:color w:val="2A2A2A"/>
          <w:sz w:val="22"/>
          <w:shd w:val="clear" w:color="auto" w:fill="FFFFFF"/>
        </w:rPr>
        <w:t xml:space="preserve"> </w:t>
      </w:r>
      <w:r w:rsidRPr="00B667C4">
        <w:rPr>
          <w:rStyle w:val="Emphasis"/>
          <w:rFonts w:asciiTheme="minorHAnsi" w:hAnsiTheme="minorHAnsi" w:cstheme="minorHAnsi"/>
          <w:color w:val="2A2A2A"/>
          <w:sz w:val="22"/>
          <w:bdr w:val="none" w:sz="0" w:space="0" w:color="auto" w:frame="1"/>
          <w:shd w:val="clear" w:color="auto" w:fill="FFFFFF"/>
        </w:rPr>
        <w:t>J</w:t>
      </w:r>
      <w:r w:rsidR="00036E84" w:rsidRPr="00B667C4">
        <w:rPr>
          <w:rStyle w:val="Emphasis"/>
          <w:rFonts w:asciiTheme="minorHAnsi" w:hAnsiTheme="minorHAnsi" w:cstheme="minorHAnsi"/>
          <w:color w:val="2A2A2A"/>
          <w:sz w:val="22"/>
          <w:bdr w:val="none" w:sz="0" w:space="0" w:color="auto" w:frame="1"/>
          <w:shd w:val="clear" w:color="auto" w:fill="FFFFFF"/>
        </w:rPr>
        <w:t xml:space="preserve">ournal of African </w:t>
      </w:r>
      <w:r w:rsidRPr="00B667C4">
        <w:rPr>
          <w:rStyle w:val="Emphasis"/>
          <w:rFonts w:asciiTheme="minorHAnsi" w:hAnsiTheme="minorHAnsi" w:cstheme="minorHAnsi"/>
          <w:color w:val="2A2A2A"/>
          <w:sz w:val="22"/>
          <w:bdr w:val="none" w:sz="0" w:space="0" w:color="auto" w:frame="1"/>
          <w:shd w:val="clear" w:color="auto" w:fill="FFFFFF"/>
        </w:rPr>
        <w:t>Econ</w:t>
      </w:r>
      <w:r w:rsidR="00036E84" w:rsidRPr="00B667C4">
        <w:rPr>
          <w:rStyle w:val="Emphasis"/>
          <w:rFonts w:asciiTheme="minorHAnsi" w:hAnsiTheme="minorHAnsi" w:cstheme="minorHAnsi"/>
          <w:color w:val="2A2A2A"/>
          <w:sz w:val="22"/>
          <w:bdr w:val="none" w:sz="0" w:space="0" w:color="auto" w:frame="1"/>
          <w:shd w:val="clear" w:color="auto" w:fill="FFFFFF"/>
        </w:rPr>
        <w:t>omics</w:t>
      </w:r>
      <w:r w:rsidRPr="00B667C4">
        <w:rPr>
          <w:rFonts w:asciiTheme="minorHAnsi" w:hAnsiTheme="minorHAnsi" w:cstheme="minorHAnsi"/>
          <w:color w:val="2A2A2A"/>
          <w:sz w:val="22"/>
          <w:shd w:val="clear" w:color="auto" w:fill="FFFFFF"/>
        </w:rPr>
        <w:t>; 24 (5): 677-706</w:t>
      </w:r>
      <w:r w:rsidR="003C0ADC" w:rsidRPr="00B667C4">
        <w:rPr>
          <w:rFonts w:asciiTheme="minorHAnsi" w:hAnsiTheme="minorHAnsi" w:cstheme="minorHAnsi"/>
          <w:color w:val="2A2A2A"/>
          <w:sz w:val="22"/>
          <w:shd w:val="clear" w:color="auto" w:fill="FFFFFF"/>
        </w:rPr>
        <w:t>.</w:t>
      </w:r>
    </w:p>
    <w:p w14:paraId="5D58C92F" w14:textId="25E02D42" w:rsidR="00E464B3" w:rsidRPr="00B667C4" w:rsidRDefault="00E464B3"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 xml:space="preserve">Basnett, Y. and </w:t>
      </w:r>
      <w:r w:rsidR="004D598E" w:rsidRPr="00B667C4">
        <w:rPr>
          <w:rFonts w:asciiTheme="minorHAnsi" w:hAnsiTheme="minorHAnsi" w:cstheme="minorHAnsi"/>
          <w:color w:val="000000"/>
          <w:sz w:val="22"/>
        </w:rPr>
        <w:t xml:space="preserve">I. </w:t>
      </w:r>
      <w:r w:rsidRPr="00B667C4">
        <w:rPr>
          <w:rFonts w:asciiTheme="minorHAnsi" w:hAnsiTheme="minorHAnsi" w:cstheme="minorHAnsi"/>
          <w:color w:val="000000"/>
          <w:sz w:val="22"/>
        </w:rPr>
        <w:t>Massa, 2015</w:t>
      </w:r>
      <w:r w:rsidR="004D598E" w:rsidRPr="00B667C4">
        <w:rPr>
          <w:rFonts w:asciiTheme="minorHAnsi" w:hAnsiTheme="minorHAnsi" w:cstheme="minorHAnsi"/>
          <w:color w:val="000000"/>
          <w:sz w:val="22"/>
        </w:rPr>
        <w:t>, “</w:t>
      </w:r>
      <w:r w:rsidRPr="00B667C4">
        <w:rPr>
          <w:rFonts w:asciiTheme="minorHAnsi" w:hAnsiTheme="minorHAnsi" w:cstheme="minorHAnsi"/>
          <w:color w:val="000000"/>
          <w:sz w:val="22"/>
        </w:rPr>
        <w:t>Trade Facilitation: Rapid Evidence Assessment</w:t>
      </w:r>
      <w:r w:rsidR="004D598E" w:rsidRPr="00B667C4">
        <w:rPr>
          <w:rFonts w:asciiTheme="minorHAnsi" w:hAnsiTheme="minorHAnsi" w:cstheme="minorHAnsi"/>
          <w:color w:val="000000"/>
          <w:sz w:val="22"/>
        </w:rPr>
        <w:t xml:space="preserve">,” </w:t>
      </w:r>
      <w:r w:rsidR="004F6B90" w:rsidRPr="00B667C4">
        <w:rPr>
          <w:rFonts w:asciiTheme="minorHAnsi" w:hAnsiTheme="minorHAnsi" w:cstheme="minorHAnsi"/>
          <w:color w:val="000000"/>
          <w:sz w:val="22"/>
        </w:rPr>
        <w:t xml:space="preserve">London: </w:t>
      </w:r>
      <w:r w:rsidRPr="00B667C4">
        <w:rPr>
          <w:rFonts w:asciiTheme="minorHAnsi" w:hAnsiTheme="minorHAnsi" w:cstheme="minorHAnsi"/>
          <w:color w:val="000000"/>
          <w:sz w:val="22"/>
        </w:rPr>
        <w:t>O</w:t>
      </w:r>
      <w:r w:rsidR="004F6B90" w:rsidRPr="00B667C4">
        <w:rPr>
          <w:rFonts w:asciiTheme="minorHAnsi" w:hAnsiTheme="minorHAnsi" w:cstheme="minorHAnsi"/>
          <w:color w:val="000000"/>
          <w:sz w:val="22"/>
        </w:rPr>
        <w:t>DI</w:t>
      </w:r>
      <w:r w:rsidRPr="00B667C4">
        <w:rPr>
          <w:rFonts w:asciiTheme="minorHAnsi" w:hAnsiTheme="minorHAnsi" w:cstheme="minorHAnsi"/>
          <w:color w:val="000000"/>
          <w:sz w:val="22"/>
        </w:rPr>
        <w:t>.</w:t>
      </w:r>
    </w:p>
    <w:p w14:paraId="02F0CD04" w14:textId="44A5D397" w:rsidR="00BF54B2" w:rsidRPr="00B667C4" w:rsidRDefault="004E2D20" w:rsidP="006D2639">
      <w:pPr>
        <w:ind w:left="720" w:hanging="720"/>
        <w:rPr>
          <w:rFonts w:asciiTheme="minorHAnsi" w:hAnsiTheme="minorHAnsi" w:cstheme="minorHAnsi"/>
          <w:color w:val="000000" w:themeColor="text1"/>
          <w:sz w:val="22"/>
          <w:shd w:val="clear" w:color="auto" w:fill="FFFFFF"/>
        </w:rPr>
      </w:pPr>
      <w:r w:rsidRPr="00B667C4">
        <w:rPr>
          <w:rFonts w:asciiTheme="minorHAnsi" w:hAnsiTheme="minorHAnsi" w:cstheme="minorHAnsi"/>
          <w:color w:val="000000"/>
          <w:sz w:val="22"/>
        </w:rPr>
        <w:t>Beverelli, C., M. Fiorini, and B. Hoekman. 201</w:t>
      </w:r>
      <w:r w:rsidR="00BE7886" w:rsidRPr="00B667C4">
        <w:rPr>
          <w:rFonts w:asciiTheme="minorHAnsi" w:hAnsiTheme="minorHAnsi" w:cstheme="minorHAnsi"/>
          <w:color w:val="000000"/>
          <w:sz w:val="22"/>
        </w:rPr>
        <w:t>6</w:t>
      </w:r>
      <w:r w:rsidRPr="00B667C4">
        <w:rPr>
          <w:rFonts w:asciiTheme="minorHAnsi" w:hAnsiTheme="minorHAnsi" w:cstheme="minorHAnsi"/>
          <w:color w:val="000000"/>
          <w:sz w:val="22"/>
        </w:rPr>
        <w:t>. "Services Trade Restrictiveness and Manufacturing Productivity: The Role of Institutions</w:t>
      </w:r>
      <w:r w:rsidR="00BE7886" w:rsidRPr="00B667C4">
        <w:rPr>
          <w:rFonts w:asciiTheme="minorHAnsi" w:hAnsiTheme="minorHAnsi" w:cstheme="minorHAnsi"/>
          <w:color w:val="000000"/>
          <w:sz w:val="22"/>
        </w:rPr>
        <w:t>,</w:t>
      </w:r>
      <w:r w:rsidRPr="00B667C4">
        <w:rPr>
          <w:rFonts w:asciiTheme="minorHAnsi" w:hAnsiTheme="minorHAnsi" w:cstheme="minorHAnsi"/>
          <w:color w:val="000000"/>
          <w:sz w:val="22"/>
        </w:rPr>
        <w:t xml:space="preserve">" </w:t>
      </w:r>
      <w:r w:rsidR="00BE7886" w:rsidRPr="00B667C4">
        <w:rPr>
          <w:rFonts w:asciiTheme="minorHAnsi" w:hAnsiTheme="minorHAnsi" w:cstheme="minorHAnsi"/>
          <w:i/>
          <w:color w:val="000000"/>
          <w:sz w:val="22"/>
        </w:rPr>
        <w:t xml:space="preserve">Journal of International Economics </w:t>
      </w:r>
      <w:r w:rsidR="00BF54B2" w:rsidRPr="00B667C4">
        <w:rPr>
          <w:rFonts w:asciiTheme="minorHAnsi" w:hAnsiTheme="minorHAnsi" w:cstheme="minorHAnsi"/>
          <w:sz w:val="22"/>
        </w:rPr>
        <w:t>107: 166-82.</w:t>
      </w:r>
    </w:p>
    <w:p w14:paraId="25642106" w14:textId="77777777" w:rsidR="004E2D20" w:rsidRPr="00B667C4" w:rsidRDefault="004E2D20" w:rsidP="006D2639">
      <w:pPr>
        <w:ind w:left="720" w:hanging="720"/>
        <w:rPr>
          <w:rFonts w:asciiTheme="minorHAnsi" w:hAnsiTheme="minorHAnsi" w:cstheme="minorHAnsi"/>
          <w:color w:val="000000"/>
          <w:sz w:val="22"/>
          <w:shd w:val="clear" w:color="auto" w:fill="FFFFFF"/>
        </w:rPr>
      </w:pPr>
      <w:r w:rsidRPr="00B667C4">
        <w:rPr>
          <w:rFonts w:asciiTheme="minorHAnsi" w:hAnsiTheme="minorHAnsi" w:cstheme="minorHAnsi"/>
          <w:color w:val="000000" w:themeColor="text1"/>
          <w:sz w:val="22"/>
          <w:shd w:val="clear" w:color="auto" w:fill="FFFFFF"/>
        </w:rPr>
        <w:t xml:space="preserve">Beverelli, C., S. Neumueller and R. Teh, </w:t>
      </w:r>
      <w:r w:rsidRPr="00B667C4">
        <w:rPr>
          <w:rFonts w:asciiTheme="minorHAnsi" w:hAnsiTheme="minorHAnsi" w:cstheme="minorHAnsi"/>
          <w:sz w:val="22"/>
        </w:rPr>
        <w:t>2015, “</w:t>
      </w:r>
      <w:hyperlink r:id="rId12" w:history="1">
        <w:r w:rsidRPr="00B667C4">
          <w:rPr>
            <w:rFonts w:asciiTheme="minorHAnsi" w:hAnsiTheme="minorHAnsi" w:cstheme="minorHAnsi"/>
            <w:sz w:val="22"/>
          </w:rPr>
          <w:t>Export Diversification Effects of the WTO Trade Facilitation Agreement</w:t>
        </w:r>
      </w:hyperlink>
      <w:r w:rsidRPr="00B667C4">
        <w:rPr>
          <w:rFonts w:asciiTheme="minorHAnsi" w:hAnsiTheme="minorHAnsi" w:cstheme="minorHAnsi"/>
          <w:sz w:val="22"/>
        </w:rPr>
        <w:t xml:space="preserve">,” </w:t>
      </w:r>
      <w:r w:rsidRPr="00B667C4">
        <w:rPr>
          <w:rFonts w:asciiTheme="minorHAnsi" w:hAnsiTheme="minorHAnsi" w:cstheme="minorHAnsi"/>
          <w:i/>
          <w:sz w:val="22"/>
        </w:rPr>
        <w:t xml:space="preserve">World Development, </w:t>
      </w:r>
      <w:r w:rsidRPr="00B667C4">
        <w:rPr>
          <w:rFonts w:asciiTheme="minorHAnsi" w:hAnsiTheme="minorHAnsi" w:cstheme="minorHAnsi"/>
          <w:sz w:val="22"/>
        </w:rPr>
        <w:t>76: 293-310.</w:t>
      </w:r>
    </w:p>
    <w:p w14:paraId="0D539BAE" w14:textId="5889FD1C" w:rsidR="004E2D20" w:rsidRPr="00B667C4" w:rsidRDefault="004E2D20" w:rsidP="006D2639">
      <w:pPr>
        <w:pBdr>
          <w:top w:val="single" w:sz="6" w:space="1" w:color="FFFFFF"/>
          <w:left w:val="single" w:sz="6" w:space="0" w:color="FFFFFF"/>
          <w:bottom w:val="single" w:sz="6" w:space="0" w:color="FFFFFF"/>
          <w:right w:val="single" w:sz="6" w:space="0" w:color="FFFFFF"/>
        </w:pBd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heme="minorHAnsi" w:hAnsiTheme="minorHAnsi" w:cstheme="minorHAnsi"/>
          <w:color w:val="000000"/>
          <w:sz w:val="22"/>
        </w:rPr>
      </w:pPr>
      <w:r w:rsidRPr="00B667C4">
        <w:rPr>
          <w:rFonts w:asciiTheme="minorHAnsi" w:hAnsiTheme="minorHAnsi" w:cstheme="minorHAnsi"/>
          <w:color w:val="000000"/>
          <w:sz w:val="22"/>
        </w:rPr>
        <w:t>Borchert, I. B. Gootiiz and A. Mattoo</w:t>
      </w:r>
      <w:r w:rsidR="00CA185D" w:rsidRPr="00B667C4">
        <w:rPr>
          <w:rFonts w:asciiTheme="minorHAnsi" w:hAnsiTheme="minorHAnsi" w:cstheme="minorHAnsi"/>
          <w:color w:val="000000"/>
          <w:sz w:val="22"/>
        </w:rPr>
        <w:t xml:space="preserve">, </w:t>
      </w:r>
      <w:r w:rsidRPr="00B667C4">
        <w:rPr>
          <w:rFonts w:asciiTheme="minorHAnsi" w:hAnsiTheme="minorHAnsi" w:cstheme="minorHAnsi"/>
          <w:color w:val="000000"/>
          <w:sz w:val="22"/>
        </w:rPr>
        <w:t>201</w:t>
      </w:r>
      <w:r w:rsidR="00CA185D" w:rsidRPr="00B667C4">
        <w:rPr>
          <w:rFonts w:asciiTheme="minorHAnsi" w:hAnsiTheme="minorHAnsi" w:cstheme="minorHAnsi"/>
          <w:color w:val="000000"/>
          <w:sz w:val="22"/>
        </w:rPr>
        <w:t>4</w:t>
      </w:r>
      <w:r w:rsidRPr="00B667C4">
        <w:rPr>
          <w:rFonts w:asciiTheme="minorHAnsi" w:hAnsiTheme="minorHAnsi" w:cstheme="minorHAnsi"/>
          <w:color w:val="000000"/>
          <w:sz w:val="22"/>
        </w:rPr>
        <w:t xml:space="preserve">. “Policy Barriers to International Trade in Services: Evidence from a New Database,” </w:t>
      </w:r>
      <w:r w:rsidRPr="00B667C4">
        <w:rPr>
          <w:rFonts w:asciiTheme="minorHAnsi" w:hAnsiTheme="minorHAnsi" w:cstheme="minorHAnsi"/>
          <w:i/>
          <w:color w:val="000000"/>
          <w:sz w:val="22"/>
        </w:rPr>
        <w:t xml:space="preserve">World Bank </w:t>
      </w:r>
      <w:r w:rsidR="00CA185D" w:rsidRPr="00B667C4">
        <w:rPr>
          <w:rFonts w:asciiTheme="minorHAnsi" w:hAnsiTheme="minorHAnsi" w:cstheme="minorHAnsi"/>
          <w:i/>
          <w:color w:val="000000"/>
          <w:sz w:val="22"/>
        </w:rPr>
        <w:t>Economic Review</w:t>
      </w:r>
      <w:r w:rsidR="00CA185D" w:rsidRPr="00B667C4">
        <w:rPr>
          <w:rFonts w:asciiTheme="minorHAnsi" w:hAnsiTheme="minorHAnsi" w:cstheme="minorHAnsi"/>
          <w:color w:val="000000"/>
          <w:sz w:val="22"/>
        </w:rPr>
        <w:t xml:space="preserve">, </w:t>
      </w:r>
      <w:r w:rsidR="0004133C" w:rsidRPr="00B667C4">
        <w:rPr>
          <w:rFonts w:asciiTheme="minorHAnsi" w:hAnsiTheme="minorHAnsi" w:cstheme="minorHAnsi"/>
          <w:color w:val="000000"/>
          <w:sz w:val="22"/>
        </w:rPr>
        <w:t>28(1): 162-88.</w:t>
      </w:r>
    </w:p>
    <w:p w14:paraId="5B881409" w14:textId="77777777" w:rsidR="004E2D20"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 xml:space="preserve">Borchert, I. B. Gootiiz, A. Grover and A. Mattoo, 2015, "Services Trade Protection and Economic Isolation,” </w:t>
      </w:r>
      <w:r w:rsidRPr="00B667C4">
        <w:rPr>
          <w:rFonts w:asciiTheme="minorHAnsi" w:hAnsiTheme="minorHAnsi" w:cstheme="minorHAnsi"/>
          <w:i/>
          <w:color w:val="000000"/>
          <w:sz w:val="22"/>
        </w:rPr>
        <w:t>The World Economy</w:t>
      </w:r>
      <w:r w:rsidRPr="00B667C4">
        <w:rPr>
          <w:rFonts w:asciiTheme="minorHAnsi" w:hAnsiTheme="minorHAnsi" w:cstheme="minorHAnsi"/>
          <w:color w:val="000000"/>
          <w:sz w:val="22"/>
        </w:rPr>
        <w:t xml:space="preserve">, </w:t>
      </w:r>
      <w:r w:rsidRPr="00B667C4">
        <w:rPr>
          <w:rStyle w:val="current-selection"/>
          <w:rFonts w:asciiTheme="minorHAnsi" w:hAnsiTheme="minorHAnsi" w:cstheme="minorHAnsi"/>
          <w:color w:val="000000"/>
          <w:sz w:val="22"/>
          <w:shd w:val="clear" w:color="auto" w:fill="FFFFFF"/>
        </w:rPr>
        <w:t>doi:</w:t>
      </w:r>
      <w:r w:rsidRPr="00B667C4">
        <w:rPr>
          <w:rStyle w:val="a"/>
          <w:rFonts w:asciiTheme="minorHAnsi" w:hAnsiTheme="minorHAnsi" w:cstheme="minorHAnsi"/>
          <w:color w:val="000000"/>
          <w:sz w:val="22"/>
          <w:shd w:val="clear" w:color="auto" w:fill="FFFFFF"/>
        </w:rPr>
        <w:t xml:space="preserve"> </w:t>
      </w:r>
      <w:r w:rsidRPr="00B667C4">
        <w:rPr>
          <w:rStyle w:val="current-selection"/>
          <w:rFonts w:asciiTheme="minorHAnsi" w:hAnsiTheme="minorHAnsi" w:cstheme="minorHAnsi"/>
          <w:color w:val="000000"/>
          <w:sz w:val="22"/>
          <w:shd w:val="clear" w:color="auto" w:fill="FFFFFF"/>
        </w:rPr>
        <w:t>10.1111/twec.12327</w:t>
      </w:r>
      <w:r w:rsidRPr="00B667C4">
        <w:rPr>
          <w:rFonts w:asciiTheme="minorHAnsi" w:hAnsiTheme="minorHAnsi" w:cstheme="minorHAnsi"/>
          <w:color w:val="000000"/>
          <w:sz w:val="22"/>
        </w:rPr>
        <w:t>.</w:t>
      </w:r>
    </w:p>
    <w:p w14:paraId="17555145" w14:textId="77777777" w:rsidR="005855EB" w:rsidRPr="00B667C4" w:rsidRDefault="004E2D20" w:rsidP="006D2639">
      <w:pPr>
        <w:ind w:left="720" w:hanging="720"/>
        <w:rPr>
          <w:rFonts w:asciiTheme="minorHAnsi" w:eastAsiaTheme="minorEastAsia" w:hAnsiTheme="minorHAnsi" w:cstheme="minorHAnsi"/>
          <w:sz w:val="22"/>
        </w:rPr>
      </w:pPr>
      <w:r w:rsidRPr="00B667C4">
        <w:rPr>
          <w:rFonts w:asciiTheme="minorHAnsi" w:hAnsiTheme="minorHAnsi" w:cstheme="minorHAnsi"/>
          <w:sz w:val="22"/>
          <w:lang w:val="de-DE"/>
        </w:rPr>
        <w:t>Busse, M., R. Hoekstra and J. Königer, 2012</w:t>
      </w:r>
      <w:r w:rsidRPr="00B667C4">
        <w:rPr>
          <w:rFonts w:asciiTheme="minorHAnsi" w:eastAsiaTheme="minorEastAsia" w:hAnsiTheme="minorHAnsi" w:cstheme="minorHAnsi"/>
          <w:sz w:val="22"/>
          <w:lang w:val="de-DE"/>
        </w:rPr>
        <w:t xml:space="preserve">. </w:t>
      </w:r>
      <w:r w:rsidRPr="00B667C4">
        <w:rPr>
          <w:rFonts w:asciiTheme="minorHAnsi" w:eastAsiaTheme="minorEastAsia" w:hAnsiTheme="minorHAnsi" w:cstheme="minorHAnsi"/>
          <w:sz w:val="22"/>
        </w:rPr>
        <w:t xml:space="preserve">“The Impact of Aid for Trade Facilitation on the Costs of Trading,” </w:t>
      </w:r>
      <w:r w:rsidRPr="00B667C4">
        <w:rPr>
          <w:rFonts w:asciiTheme="minorHAnsi" w:eastAsiaTheme="minorEastAsia" w:hAnsiTheme="minorHAnsi" w:cstheme="minorHAnsi"/>
          <w:i/>
          <w:sz w:val="22"/>
        </w:rPr>
        <w:t>Kyklos,</w:t>
      </w:r>
      <w:r w:rsidRPr="00B667C4">
        <w:rPr>
          <w:rFonts w:asciiTheme="minorHAnsi" w:eastAsiaTheme="minorEastAsia" w:hAnsiTheme="minorHAnsi" w:cstheme="minorHAnsi"/>
          <w:sz w:val="22"/>
        </w:rPr>
        <w:t xml:space="preserve"> 65(2): 143-63. </w:t>
      </w:r>
    </w:p>
    <w:p w14:paraId="3F1B8900" w14:textId="77777777" w:rsidR="005855EB"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Buys, P., U. Deichmann, and D. Wheeler. 2010. “Road Network Upgrading and Overland Trade Expansion in Sub-Saharan Africa.” </w:t>
      </w:r>
      <w:r w:rsidRPr="00B667C4">
        <w:rPr>
          <w:rFonts w:asciiTheme="minorHAnsi" w:hAnsiTheme="minorHAnsi" w:cstheme="minorHAnsi"/>
          <w:i/>
          <w:sz w:val="22"/>
        </w:rPr>
        <w:t>Journal of African Economies</w:t>
      </w:r>
      <w:r w:rsidRPr="00B667C4">
        <w:rPr>
          <w:rFonts w:asciiTheme="minorHAnsi" w:hAnsiTheme="minorHAnsi" w:cstheme="minorHAnsi"/>
          <w:sz w:val="22"/>
        </w:rPr>
        <w:t>, 19(3): 299-332.</w:t>
      </w:r>
    </w:p>
    <w:p w14:paraId="4107FDDB" w14:textId="2671C046" w:rsidR="00813228" w:rsidRPr="00B667C4" w:rsidRDefault="00813228" w:rsidP="006D2639">
      <w:pPr>
        <w:pStyle w:val="References"/>
        <w:spacing w:after="0" w:line="240" w:lineRule="auto"/>
        <w:ind w:left="720" w:hanging="720"/>
        <w:rPr>
          <w:rFonts w:asciiTheme="minorHAnsi" w:eastAsia="Calibri" w:hAnsiTheme="minorHAnsi" w:cstheme="minorHAnsi"/>
          <w:sz w:val="22"/>
          <w:szCs w:val="22"/>
          <w:lang w:val="en-GB"/>
        </w:rPr>
      </w:pPr>
      <w:r w:rsidRPr="00B667C4">
        <w:rPr>
          <w:rFonts w:asciiTheme="minorHAnsi" w:eastAsia="Calibri" w:hAnsiTheme="minorHAnsi" w:cstheme="minorHAnsi"/>
          <w:sz w:val="22"/>
          <w:szCs w:val="22"/>
          <w:lang w:val="en-GB"/>
        </w:rPr>
        <w:t xml:space="preserve">Cadot, O. and J. Gourdon; 2014 “Assessing the Price-Raising Effect of Non-Tariff Measures in Africa,” </w:t>
      </w:r>
      <w:r w:rsidR="00036E84" w:rsidRPr="00B667C4">
        <w:rPr>
          <w:rStyle w:val="Emphasis"/>
          <w:rFonts w:asciiTheme="minorHAnsi" w:hAnsiTheme="minorHAnsi" w:cstheme="minorHAnsi"/>
          <w:color w:val="2A2A2A"/>
          <w:sz w:val="22"/>
          <w:szCs w:val="22"/>
          <w:bdr w:val="none" w:sz="0" w:space="0" w:color="auto" w:frame="1"/>
          <w:shd w:val="clear" w:color="auto" w:fill="FFFFFF"/>
        </w:rPr>
        <w:t>Journal of African Economics,</w:t>
      </w:r>
      <w:r w:rsidRPr="00B667C4">
        <w:rPr>
          <w:rFonts w:asciiTheme="minorHAnsi" w:eastAsia="Calibri" w:hAnsiTheme="minorHAnsi" w:cstheme="minorHAnsi"/>
          <w:sz w:val="22"/>
          <w:szCs w:val="22"/>
          <w:lang w:val="en-GB"/>
        </w:rPr>
        <w:t> 23 (4): 425-63.</w:t>
      </w:r>
    </w:p>
    <w:p w14:paraId="3BE74423" w14:textId="6AA2A3AE" w:rsidR="00716898" w:rsidRPr="00B667C4" w:rsidRDefault="00716898" w:rsidP="006D2639">
      <w:pPr>
        <w:pStyle w:val="References"/>
        <w:spacing w:after="0" w:line="240" w:lineRule="auto"/>
        <w:ind w:left="720" w:hanging="720"/>
        <w:rPr>
          <w:rFonts w:asciiTheme="minorHAnsi" w:eastAsiaTheme="minorHAnsi" w:hAnsiTheme="minorHAnsi" w:cstheme="minorHAnsi"/>
          <w:sz w:val="22"/>
          <w:szCs w:val="22"/>
        </w:rPr>
      </w:pPr>
      <w:r w:rsidRPr="00B667C4">
        <w:rPr>
          <w:rFonts w:asciiTheme="minorHAnsi" w:eastAsiaTheme="minorHAnsi" w:hAnsiTheme="minorHAnsi" w:cstheme="minorHAnsi"/>
          <w:sz w:val="22"/>
          <w:szCs w:val="22"/>
        </w:rPr>
        <w:t xml:space="preserve">Cadot, O., C. Carrère and V. Strauss-Kahn, 2011, “Export Diversification: What’s Behind the Hump?” </w:t>
      </w:r>
      <w:r w:rsidRPr="00B667C4">
        <w:rPr>
          <w:rFonts w:asciiTheme="minorHAnsi" w:eastAsiaTheme="minorHAnsi" w:hAnsiTheme="minorHAnsi" w:cstheme="minorHAnsi"/>
          <w:i/>
          <w:sz w:val="22"/>
          <w:szCs w:val="22"/>
        </w:rPr>
        <w:t>Review of Economic and Statistics</w:t>
      </w:r>
      <w:r w:rsidRPr="00B667C4">
        <w:rPr>
          <w:rFonts w:asciiTheme="minorHAnsi" w:eastAsiaTheme="minorHAnsi" w:hAnsiTheme="minorHAnsi" w:cstheme="minorHAnsi"/>
          <w:sz w:val="22"/>
          <w:szCs w:val="22"/>
        </w:rPr>
        <w:t xml:space="preserve"> 93(2): 590-605.</w:t>
      </w:r>
    </w:p>
    <w:p w14:paraId="322DB8C6" w14:textId="77777777" w:rsidR="00716898" w:rsidRPr="00B667C4" w:rsidRDefault="00716898" w:rsidP="006D2639">
      <w:pPr>
        <w:pStyle w:val="References"/>
        <w:spacing w:after="0" w:line="240" w:lineRule="auto"/>
        <w:ind w:left="720" w:hanging="720"/>
        <w:rPr>
          <w:rFonts w:asciiTheme="minorHAnsi" w:eastAsia="Calibri" w:hAnsiTheme="minorHAnsi" w:cstheme="minorHAnsi"/>
          <w:sz w:val="22"/>
          <w:szCs w:val="22"/>
        </w:rPr>
      </w:pPr>
      <w:r w:rsidRPr="00B667C4">
        <w:rPr>
          <w:rFonts w:asciiTheme="minorHAnsi" w:eastAsia="Calibri" w:hAnsiTheme="minorHAnsi" w:cstheme="minorHAnsi"/>
          <w:sz w:val="22"/>
          <w:szCs w:val="22"/>
          <w:lang w:val="it-IT"/>
        </w:rPr>
        <w:t xml:space="preserve">Cadot, O., L. Iacovone, M. Pierola and F. Rauch, 2013. </w:t>
      </w:r>
      <w:r w:rsidRPr="00B667C4">
        <w:rPr>
          <w:rFonts w:asciiTheme="minorHAnsi" w:eastAsia="Calibri" w:hAnsiTheme="minorHAnsi" w:cstheme="minorHAnsi"/>
          <w:sz w:val="22"/>
          <w:szCs w:val="22"/>
        </w:rPr>
        <w:t>"</w:t>
      </w:r>
      <w:hyperlink r:id="rId13" w:history="1">
        <w:r w:rsidRPr="00B667C4">
          <w:rPr>
            <w:rFonts w:asciiTheme="minorHAnsi" w:eastAsia="Calibri" w:hAnsiTheme="minorHAnsi" w:cstheme="minorHAnsi"/>
            <w:sz w:val="22"/>
            <w:szCs w:val="22"/>
          </w:rPr>
          <w:t>Success and failure of African exporters</w:t>
        </w:r>
      </w:hyperlink>
      <w:r w:rsidRPr="00B667C4">
        <w:rPr>
          <w:rFonts w:asciiTheme="minorHAnsi" w:eastAsia="Calibri" w:hAnsiTheme="minorHAnsi" w:cstheme="minorHAnsi"/>
          <w:sz w:val="22"/>
          <w:szCs w:val="22"/>
        </w:rPr>
        <w:t xml:space="preserve">," </w:t>
      </w:r>
      <w:hyperlink r:id="rId14" w:history="1">
        <w:r w:rsidRPr="00B667C4">
          <w:rPr>
            <w:rFonts w:asciiTheme="minorHAnsi" w:eastAsia="Calibri" w:hAnsiTheme="minorHAnsi" w:cstheme="minorHAnsi"/>
            <w:i/>
            <w:sz w:val="22"/>
            <w:szCs w:val="22"/>
          </w:rPr>
          <w:t>Journal of Development Economics</w:t>
        </w:r>
      </w:hyperlink>
      <w:r w:rsidRPr="00B667C4">
        <w:rPr>
          <w:rFonts w:asciiTheme="minorHAnsi" w:eastAsia="Calibri" w:hAnsiTheme="minorHAnsi" w:cstheme="minorHAnsi"/>
          <w:sz w:val="22"/>
          <w:szCs w:val="22"/>
        </w:rPr>
        <w:t>, 101(C): 284-96.</w:t>
      </w:r>
    </w:p>
    <w:p w14:paraId="1E63A30A" w14:textId="77777777" w:rsidR="004E2D20"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Calì, M. and D. te Velde, 2011. "</w:t>
      </w:r>
      <w:hyperlink r:id="rId15" w:history="1">
        <w:r w:rsidRPr="00B667C4">
          <w:rPr>
            <w:rFonts w:asciiTheme="minorHAnsi" w:hAnsiTheme="minorHAnsi" w:cstheme="minorHAnsi"/>
            <w:sz w:val="22"/>
          </w:rPr>
          <w:t>Does Aid for Trade Really Improve Trade Performance?</w:t>
        </w:r>
      </w:hyperlink>
      <w:r w:rsidRPr="00B667C4">
        <w:rPr>
          <w:rFonts w:asciiTheme="minorHAnsi" w:hAnsiTheme="minorHAnsi" w:cstheme="minorHAnsi"/>
          <w:sz w:val="22"/>
        </w:rPr>
        <w:t>" </w:t>
      </w:r>
      <w:hyperlink r:id="rId16" w:history="1">
        <w:r w:rsidRPr="00B667C4">
          <w:rPr>
            <w:rFonts w:asciiTheme="minorHAnsi" w:hAnsiTheme="minorHAnsi" w:cstheme="minorHAnsi"/>
            <w:i/>
            <w:sz w:val="22"/>
          </w:rPr>
          <w:t>World Development</w:t>
        </w:r>
      </w:hyperlink>
      <w:r w:rsidRPr="00B667C4">
        <w:rPr>
          <w:rFonts w:asciiTheme="minorHAnsi" w:hAnsiTheme="minorHAnsi" w:cstheme="minorHAnsi"/>
          <w:sz w:val="22"/>
        </w:rPr>
        <w:t>, 39(5): 725-40.</w:t>
      </w:r>
    </w:p>
    <w:p w14:paraId="13212890" w14:textId="77777777" w:rsidR="005855EB"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 xml:space="preserve">Christ, N. and M. Ferrantino. 2011. "Land Transport for Exports: The Effects of Cost, Time, and Uncertainty in Sub-Saharan Africa," </w:t>
      </w:r>
      <w:r w:rsidRPr="00B667C4">
        <w:rPr>
          <w:rFonts w:asciiTheme="minorHAnsi" w:hAnsiTheme="minorHAnsi" w:cstheme="minorHAnsi"/>
          <w:i/>
          <w:color w:val="000000"/>
          <w:sz w:val="22"/>
        </w:rPr>
        <w:t>World Development</w:t>
      </w:r>
      <w:r w:rsidR="005855EB" w:rsidRPr="00B667C4">
        <w:rPr>
          <w:rFonts w:asciiTheme="minorHAnsi" w:hAnsiTheme="minorHAnsi" w:cstheme="minorHAnsi"/>
          <w:color w:val="000000"/>
          <w:sz w:val="22"/>
        </w:rPr>
        <w:t xml:space="preserve"> 39(10): 1749–59. </w:t>
      </w:r>
    </w:p>
    <w:p w14:paraId="7A098A0B" w14:textId="49924498" w:rsidR="008405F7" w:rsidRPr="00B667C4" w:rsidRDefault="008405F7" w:rsidP="006D2639">
      <w:pPr>
        <w:ind w:left="720" w:hanging="720"/>
        <w:rPr>
          <w:rFonts w:asciiTheme="minorHAnsi" w:hAnsiTheme="minorHAnsi" w:cstheme="minorHAnsi"/>
          <w:color w:val="2A2A2A"/>
          <w:sz w:val="22"/>
          <w:shd w:val="clear" w:color="auto" w:fill="FFFFFF"/>
        </w:rPr>
      </w:pPr>
      <w:r w:rsidRPr="00B667C4">
        <w:rPr>
          <w:rFonts w:asciiTheme="minorHAnsi" w:hAnsiTheme="minorHAnsi" w:cstheme="minorHAnsi"/>
          <w:color w:val="2A2A2A"/>
          <w:sz w:val="22"/>
          <w:shd w:val="clear" w:color="auto" w:fill="FFFFFF"/>
        </w:rPr>
        <w:t>Cissokho, L., J. Haughton, K. Makpayo and A. Seck</w:t>
      </w:r>
      <w:r w:rsidR="00800D37" w:rsidRPr="00B667C4">
        <w:rPr>
          <w:rFonts w:asciiTheme="minorHAnsi" w:hAnsiTheme="minorHAnsi" w:cstheme="minorHAnsi"/>
          <w:color w:val="2A2A2A"/>
          <w:sz w:val="22"/>
          <w:shd w:val="clear" w:color="auto" w:fill="FFFFFF"/>
        </w:rPr>
        <w:t xml:space="preserve">, </w:t>
      </w:r>
      <w:r w:rsidRPr="00B667C4">
        <w:rPr>
          <w:rFonts w:asciiTheme="minorHAnsi" w:hAnsiTheme="minorHAnsi" w:cstheme="minorHAnsi"/>
          <w:color w:val="2A2A2A"/>
          <w:sz w:val="22"/>
          <w:shd w:val="clear" w:color="auto" w:fill="FFFFFF"/>
        </w:rPr>
        <w:t xml:space="preserve">2013, “Why Is Agricultural Trade within ECOWAS So High?,” </w:t>
      </w:r>
      <w:r w:rsidR="00036E84" w:rsidRPr="00B667C4">
        <w:rPr>
          <w:rStyle w:val="Emphasis"/>
          <w:rFonts w:asciiTheme="minorHAnsi" w:hAnsiTheme="minorHAnsi" w:cstheme="minorHAnsi"/>
          <w:color w:val="2A2A2A"/>
          <w:sz w:val="22"/>
          <w:bdr w:val="none" w:sz="0" w:space="0" w:color="auto" w:frame="1"/>
          <w:shd w:val="clear" w:color="auto" w:fill="FFFFFF"/>
        </w:rPr>
        <w:t>Journal of African Economics</w:t>
      </w:r>
      <w:r w:rsidR="00036E84" w:rsidRPr="00B667C4">
        <w:rPr>
          <w:rFonts w:asciiTheme="minorHAnsi" w:hAnsiTheme="minorHAnsi" w:cstheme="minorHAnsi"/>
          <w:color w:val="2A2A2A"/>
          <w:sz w:val="22"/>
          <w:shd w:val="clear" w:color="auto" w:fill="FFFFFF"/>
        </w:rPr>
        <w:t>,</w:t>
      </w:r>
      <w:r w:rsidRPr="00B667C4">
        <w:rPr>
          <w:rFonts w:asciiTheme="minorHAnsi" w:hAnsiTheme="minorHAnsi" w:cstheme="minorHAnsi"/>
          <w:color w:val="2A2A2A"/>
          <w:sz w:val="22"/>
          <w:shd w:val="clear" w:color="auto" w:fill="FFFFFF"/>
        </w:rPr>
        <w:t xml:space="preserve"> 22 (1): 22-51.</w:t>
      </w:r>
    </w:p>
    <w:p w14:paraId="4675F840" w14:textId="65541436" w:rsidR="00CC2A6D" w:rsidRPr="00B667C4" w:rsidRDefault="00CC2A6D" w:rsidP="00CC2A6D">
      <w:pPr>
        <w:ind w:left="720" w:hanging="720"/>
        <w:rPr>
          <w:rFonts w:asciiTheme="minorHAnsi" w:hAnsiTheme="minorHAnsi" w:cstheme="minorHAnsi"/>
          <w:sz w:val="22"/>
        </w:rPr>
      </w:pPr>
      <w:r w:rsidRPr="00B667C4">
        <w:rPr>
          <w:rFonts w:asciiTheme="minorHAnsi" w:hAnsiTheme="minorHAnsi" w:cstheme="minorHAnsi"/>
          <w:sz w:val="22"/>
        </w:rPr>
        <w:t xml:space="preserve">Dihel, N., and A. Goswami (Eds.) 2016. </w:t>
      </w:r>
      <w:r w:rsidRPr="00B667C4">
        <w:rPr>
          <w:rFonts w:asciiTheme="minorHAnsi" w:hAnsiTheme="minorHAnsi" w:cstheme="minorHAnsi"/>
          <w:i/>
          <w:sz w:val="22"/>
        </w:rPr>
        <w:t>From Hair Stylists and Teachers to Accountants and Doctors – The Unexplored Potential of Trade in Services in Africa</w:t>
      </w:r>
      <w:r w:rsidRPr="00B667C4">
        <w:rPr>
          <w:rFonts w:asciiTheme="minorHAnsi" w:hAnsiTheme="minorHAnsi" w:cstheme="minorHAnsi"/>
          <w:sz w:val="22"/>
        </w:rPr>
        <w:t xml:space="preserve">. Washington, DC: World Bank </w:t>
      </w:r>
    </w:p>
    <w:p w14:paraId="3B8FA1D2" w14:textId="36C19860" w:rsidR="003F2595"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Djankov, S., C. Freund and C. Pham, 2010. “</w:t>
      </w:r>
      <w:hyperlink r:id="rId17" w:history="1">
        <w:r w:rsidRPr="00B667C4">
          <w:rPr>
            <w:rFonts w:asciiTheme="minorHAnsi" w:hAnsiTheme="minorHAnsi" w:cstheme="minorHAnsi"/>
            <w:sz w:val="22"/>
          </w:rPr>
          <w:t>Trading on Time</w:t>
        </w:r>
      </w:hyperlink>
      <w:r w:rsidRPr="00B667C4">
        <w:rPr>
          <w:rFonts w:asciiTheme="minorHAnsi" w:hAnsiTheme="minorHAnsi" w:cstheme="minorHAnsi"/>
          <w:sz w:val="22"/>
        </w:rPr>
        <w:t xml:space="preserve">,” </w:t>
      </w:r>
      <w:hyperlink r:id="rId18" w:history="1">
        <w:r w:rsidRPr="00B667C4">
          <w:rPr>
            <w:rFonts w:asciiTheme="minorHAnsi" w:hAnsiTheme="minorHAnsi" w:cstheme="minorHAnsi"/>
            <w:i/>
            <w:sz w:val="22"/>
          </w:rPr>
          <w:t>Review of Economics and Statistics</w:t>
        </w:r>
      </w:hyperlink>
      <w:r w:rsidRPr="00B667C4">
        <w:rPr>
          <w:rFonts w:asciiTheme="minorHAnsi" w:hAnsiTheme="minorHAnsi" w:cstheme="minorHAnsi"/>
          <w:sz w:val="22"/>
        </w:rPr>
        <w:t>, 92(1): 166-73.</w:t>
      </w:r>
    </w:p>
    <w:p w14:paraId="2F2C8F37" w14:textId="77777777" w:rsidR="000349D3" w:rsidRPr="00B667C4" w:rsidRDefault="000349D3" w:rsidP="006D2639">
      <w:pPr>
        <w:ind w:left="720" w:hanging="720"/>
        <w:rPr>
          <w:rFonts w:asciiTheme="minorHAnsi" w:hAnsiTheme="minorHAnsi" w:cstheme="minorHAnsi"/>
          <w:sz w:val="22"/>
        </w:rPr>
      </w:pPr>
      <w:r w:rsidRPr="00B667C4">
        <w:rPr>
          <w:rFonts w:asciiTheme="minorHAnsi" w:hAnsiTheme="minorHAnsi" w:cstheme="minorHAnsi"/>
          <w:sz w:val="22"/>
        </w:rPr>
        <w:t xml:space="preserve">Eaton, J., and S. Kortum. 2001. “Trade in Capital Goods.” </w:t>
      </w:r>
      <w:r w:rsidRPr="00B667C4">
        <w:rPr>
          <w:rFonts w:asciiTheme="minorHAnsi" w:hAnsiTheme="minorHAnsi" w:cstheme="minorHAnsi"/>
          <w:i/>
          <w:sz w:val="22"/>
        </w:rPr>
        <w:t>European Economic Review</w:t>
      </w:r>
      <w:r w:rsidRPr="00B667C4">
        <w:rPr>
          <w:rFonts w:asciiTheme="minorHAnsi" w:hAnsiTheme="minorHAnsi" w:cstheme="minorHAnsi"/>
          <w:sz w:val="22"/>
        </w:rPr>
        <w:t xml:space="preserve"> 45 (7): 1195–1235.</w:t>
      </w:r>
    </w:p>
    <w:p w14:paraId="286784F9" w14:textId="6CB1FD09" w:rsidR="00F5562C" w:rsidRPr="00B667C4" w:rsidRDefault="00F5562C"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Fiorini, M. and B. Hoekman, 201</w:t>
      </w:r>
      <w:r w:rsidR="00BE7886" w:rsidRPr="00B667C4">
        <w:rPr>
          <w:rFonts w:asciiTheme="minorHAnsi" w:hAnsiTheme="minorHAnsi" w:cstheme="minorHAnsi"/>
          <w:color w:val="000000"/>
          <w:sz w:val="22"/>
        </w:rPr>
        <w:t>7</w:t>
      </w:r>
      <w:r w:rsidRPr="00B667C4">
        <w:rPr>
          <w:rFonts w:asciiTheme="minorHAnsi" w:hAnsiTheme="minorHAnsi" w:cstheme="minorHAnsi"/>
          <w:color w:val="000000"/>
          <w:sz w:val="22"/>
        </w:rPr>
        <w:t>. “</w:t>
      </w:r>
      <w:r w:rsidRPr="00B667C4">
        <w:rPr>
          <w:rFonts w:asciiTheme="minorHAnsi" w:hAnsiTheme="minorHAnsi" w:cstheme="minorHAnsi"/>
          <w:sz w:val="22"/>
        </w:rPr>
        <w:t xml:space="preserve">Services </w:t>
      </w:r>
      <w:r w:rsidR="00BE7886" w:rsidRPr="00B667C4">
        <w:rPr>
          <w:rFonts w:asciiTheme="minorHAnsi" w:hAnsiTheme="minorHAnsi" w:cstheme="minorHAnsi"/>
          <w:sz w:val="22"/>
        </w:rPr>
        <w:t xml:space="preserve">Market </w:t>
      </w:r>
      <w:r w:rsidRPr="00B667C4">
        <w:rPr>
          <w:rFonts w:asciiTheme="minorHAnsi" w:hAnsiTheme="minorHAnsi" w:cstheme="minorHAnsi"/>
          <w:sz w:val="22"/>
        </w:rPr>
        <w:t>Liberalization, Economic Governance and Trade Agreements,” EUI, in process.</w:t>
      </w:r>
    </w:p>
    <w:p w14:paraId="2E45DA37" w14:textId="77777777" w:rsidR="004E2D20"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 xml:space="preserve">Francois, J. and B. Hoekman, 2010, "Services Trade and Policy," </w:t>
      </w:r>
      <w:r w:rsidRPr="00B667C4">
        <w:rPr>
          <w:rFonts w:asciiTheme="minorHAnsi" w:hAnsiTheme="minorHAnsi" w:cstheme="minorHAnsi"/>
          <w:i/>
          <w:color w:val="000000"/>
          <w:sz w:val="22"/>
        </w:rPr>
        <w:t xml:space="preserve">Journal of Economic </w:t>
      </w:r>
      <w:r w:rsidRPr="00B667C4">
        <w:rPr>
          <w:rFonts w:asciiTheme="minorHAnsi" w:hAnsiTheme="minorHAnsi" w:cstheme="minorHAnsi"/>
          <w:color w:val="000000"/>
          <w:sz w:val="22"/>
        </w:rPr>
        <w:t>L</w:t>
      </w:r>
      <w:r w:rsidRPr="00B667C4">
        <w:rPr>
          <w:rFonts w:asciiTheme="minorHAnsi" w:hAnsiTheme="minorHAnsi" w:cstheme="minorHAnsi"/>
          <w:i/>
          <w:color w:val="000000"/>
          <w:sz w:val="22"/>
        </w:rPr>
        <w:t xml:space="preserve">iterature, </w:t>
      </w:r>
      <w:r w:rsidRPr="00B667C4">
        <w:rPr>
          <w:rFonts w:asciiTheme="minorHAnsi" w:hAnsiTheme="minorHAnsi" w:cstheme="minorHAnsi"/>
          <w:color w:val="000000"/>
          <w:sz w:val="22"/>
        </w:rPr>
        <w:t>48(3): 642-92.</w:t>
      </w:r>
    </w:p>
    <w:p w14:paraId="48D14BC4" w14:textId="77777777" w:rsidR="004E2D20" w:rsidRPr="00B667C4" w:rsidRDefault="004E2D20" w:rsidP="006D2639">
      <w:pPr>
        <w:pStyle w:val="List"/>
        <w:ind w:left="720" w:hanging="720"/>
        <w:rPr>
          <w:rFonts w:asciiTheme="minorHAnsi" w:hAnsiTheme="minorHAnsi" w:cstheme="minorHAnsi"/>
          <w:sz w:val="22"/>
        </w:rPr>
      </w:pPr>
      <w:r w:rsidRPr="00B667C4">
        <w:rPr>
          <w:rFonts w:asciiTheme="minorHAnsi" w:hAnsiTheme="minorHAnsi" w:cstheme="minorHAnsi"/>
          <w:sz w:val="22"/>
        </w:rPr>
        <w:t>Freund, C. and N. Rocha, 2011. “</w:t>
      </w:r>
      <w:hyperlink r:id="rId19" w:history="1">
        <w:r w:rsidRPr="00B667C4">
          <w:rPr>
            <w:rFonts w:asciiTheme="minorHAnsi" w:hAnsiTheme="minorHAnsi" w:cstheme="minorHAnsi"/>
            <w:sz w:val="22"/>
          </w:rPr>
          <w:t>What constrains Africa's exports?</w:t>
        </w:r>
      </w:hyperlink>
      <w:r w:rsidRPr="00B667C4">
        <w:rPr>
          <w:rFonts w:asciiTheme="minorHAnsi" w:hAnsiTheme="minorHAnsi" w:cstheme="minorHAnsi"/>
          <w:sz w:val="22"/>
        </w:rPr>
        <w:t xml:space="preserve">,” </w:t>
      </w:r>
      <w:r w:rsidRPr="00B667C4">
        <w:rPr>
          <w:rFonts w:asciiTheme="minorHAnsi" w:hAnsiTheme="minorHAnsi" w:cstheme="minorHAnsi"/>
          <w:i/>
          <w:sz w:val="22"/>
        </w:rPr>
        <w:t>World Bank Economic Review</w:t>
      </w:r>
      <w:r w:rsidRPr="00B667C4">
        <w:rPr>
          <w:rFonts w:asciiTheme="minorHAnsi" w:hAnsiTheme="minorHAnsi" w:cstheme="minorHAnsi"/>
          <w:sz w:val="22"/>
        </w:rPr>
        <w:t>, 25(3): 361-86.</w:t>
      </w:r>
    </w:p>
    <w:p w14:paraId="477AF0BD" w14:textId="77777777" w:rsidR="005855EB"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Helble, M., C. Mann and J. Wilson. 2012. “Aid for Trade Facilitation,” </w:t>
      </w:r>
      <w:r w:rsidRPr="00B667C4">
        <w:rPr>
          <w:rFonts w:asciiTheme="minorHAnsi" w:hAnsiTheme="minorHAnsi" w:cstheme="minorHAnsi"/>
          <w:i/>
          <w:sz w:val="22"/>
        </w:rPr>
        <w:t>Review of World Economics</w:t>
      </w:r>
      <w:r w:rsidRPr="00B667C4">
        <w:rPr>
          <w:rFonts w:asciiTheme="minorHAnsi" w:hAnsiTheme="minorHAnsi" w:cstheme="minorHAnsi"/>
          <w:sz w:val="22"/>
        </w:rPr>
        <w:t>, 148(2): 357-76.</w:t>
      </w:r>
    </w:p>
    <w:p w14:paraId="52724FFC" w14:textId="18B25C45" w:rsidR="005855EB"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Hillbe</w:t>
      </w:r>
      <w:r w:rsidR="00F5562C" w:rsidRPr="00B667C4">
        <w:rPr>
          <w:rFonts w:asciiTheme="minorHAnsi" w:hAnsiTheme="minorHAnsi" w:cstheme="minorHAnsi"/>
          <w:sz w:val="22"/>
        </w:rPr>
        <w:t>r</w:t>
      </w:r>
      <w:r w:rsidRPr="00B667C4">
        <w:rPr>
          <w:rFonts w:asciiTheme="minorHAnsi" w:hAnsiTheme="minorHAnsi" w:cstheme="minorHAnsi"/>
          <w:sz w:val="22"/>
        </w:rPr>
        <w:t xml:space="preserve">ry, R. and X. Zhang, 2015, “Policy and Performance in Customs: Evaluating the Trade Facilitation Agreement,” World Bank Policy Research Working Paper 7211. </w:t>
      </w:r>
    </w:p>
    <w:p w14:paraId="067361C6" w14:textId="77777777" w:rsidR="004E2D20"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Hoekman, B. 2014.</w:t>
      </w:r>
      <w:r w:rsidRPr="00B667C4">
        <w:rPr>
          <w:rFonts w:asciiTheme="minorHAnsi" w:hAnsiTheme="minorHAnsi" w:cstheme="minorHAnsi"/>
          <w:i/>
          <w:sz w:val="22"/>
        </w:rPr>
        <w:t xml:space="preserve"> Supply Chains, Mega-Regionals and Multilateralism: A Road Map for the WTO. </w:t>
      </w:r>
      <w:r w:rsidRPr="00B667C4">
        <w:rPr>
          <w:rFonts w:asciiTheme="minorHAnsi" w:hAnsiTheme="minorHAnsi" w:cstheme="minorHAnsi"/>
          <w:sz w:val="22"/>
        </w:rPr>
        <w:t>London: CEPR Press.</w:t>
      </w:r>
    </w:p>
    <w:p w14:paraId="152D005D" w14:textId="433D3E76" w:rsidR="004C2967" w:rsidRPr="00B667C4" w:rsidRDefault="004C2967" w:rsidP="006D2639">
      <w:pPr>
        <w:ind w:left="720" w:hanging="720"/>
        <w:rPr>
          <w:rFonts w:asciiTheme="minorHAnsi" w:hAnsiTheme="minorHAnsi" w:cstheme="minorHAnsi"/>
          <w:sz w:val="22"/>
        </w:rPr>
      </w:pPr>
      <w:r w:rsidRPr="00B667C4">
        <w:rPr>
          <w:rFonts w:asciiTheme="minorHAnsi" w:hAnsiTheme="minorHAnsi" w:cstheme="minorHAnsi"/>
          <w:sz w:val="22"/>
        </w:rPr>
        <w:t>Hoekman, B.</w:t>
      </w:r>
      <w:r w:rsidR="00DE391F">
        <w:rPr>
          <w:rFonts w:asciiTheme="minorHAnsi" w:hAnsiTheme="minorHAnsi" w:cstheme="minorHAnsi"/>
          <w:sz w:val="22"/>
        </w:rPr>
        <w:t xml:space="preserve"> (Ed.),</w:t>
      </w:r>
      <w:r w:rsidRPr="00B667C4">
        <w:rPr>
          <w:rFonts w:asciiTheme="minorHAnsi" w:hAnsiTheme="minorHAnsi" w:cstheme="minorHAnsi"/>
          <w:sz w:val="22"/>
        </w:rPr>
        <w:t xml:space="preserve"> 2015. </w:t>
      </w:r>
      <w:r w:rsidRPr="00B667C4">
        <w:rPr>
          <w:rFonts w:asciiTheme="minorHAnsi" w:hAnsiTheme="minorHAnsi" w:cstheme="minorHAnsi"/>
          <w:i/>
          <w:color w:val="000000"/>
          <w:sz w:val="22"/>
        </w:rPr>
        <w:t>The Global Trade Slowdown: A New Normal?</w:t>
      </w:r>
      <w:r w:rsidRPr="00B667C4">
        <w:rPr>
          <w:rFonts w:asciiTheme="minorHAnsi" w:hAnsiTheme="minorHAnsi" w:cstheme="minorHAnsi"/>
          <w:color w:val="1F497D"/>
          <w:sz w:val="22"/>
        </w:rPr>
        <w:t xml:space="preserve"> </w:t>
      </w:r>
      <w:r w:rsidRPr="00B667C4">
        <w:rPr>
          <w:rFonts w:asciiTheme="minorHAnsi" w:hAnsiTheme="minorHAnsi" w:cstheme="minorHAnsi"/>
          <w:sz w:val="22"/>
        </w:rPr>
        <w:t>London: CEPR Press.</w:t>
      </w:r>
    </w:p>
    <w:p w14:paraId="2ECD08F3" w14:textId="24962BC2" w:rsidR="004C2967" w:rsidRPr="00B667C4" w:rsidRDefault="004C2967" w:rsidP="004C2967">
      <w:pPr>
        <w:ind w:left="720" w:hanging="720"/>
        <w:rPr>
          <w:rFonts w:asciiTheme="minorHAnsi" w:hAnsiTheme="minorHAnsi" w:cstheme="minorHAnsi"/>
          <w:sz w:val="22"/>
        </w:rPr>
      </w:pPr>
      <w:r w:rsidRPr="00B667C4">
        <w:rPr>
          <w:rFonts w:asciiTheme="minorHAnsi" w:hAnsiTheme="minorHAnsi" w:cstheme="minorHAnsi"/>
          <w:sz w:val="22"/>
        </w:rPr>
        <w:t>Hoekman, B. 2016. “The Bali Trade Facilitation Agreement and rulemaking in the WTO: milestone, mistake or mirage?</w:t>
      </w:r>
      <w:r w:rsidR="0078731E" w:rsidRPr="00B667C4">
        <w:rPr>
          <w:rFonts w:asciiTheme="minorHAnsi" w:hAnsiTheme="minorHAnsi" w:cstheme="minorHAnsi"/>
          <w:sz w:val="22"/>
        </w:rPr>
        <w:t>”</w:t>
      </w:r>
      <w:r w:rsidRPr="00B667C4">
        <w:rPr>
          <w:rFonts w:asciiTheme="minorHAnsi" w:hAnsiTheme="minorHAnsi" w:cstheme="minorHAnsi"/>
          <w:sz w:val="22"/>
        </w:rPr>
        <w:t xml:space="preserve"> In J. Bhagwati, P. Krishna and A. Panagariya (eds.), </w:t>
      </w:r>
      <w:r w:rsidRPr="00B667C4">
        <w:rPr>
          <w:rFonts w:asciiTheme="minorHAnsi" w:hAnsiTheme="minorHAnsi" w:cstheme="minorHAnsi"/>
          <w:i/>
          <w:sz w:val="22"/>
        </w:rPr>
        <w:t>The World Trade System: Trends and Challenges</w:t>
      </w:r>
      <w:r w:rsidRPr="00B667C4">
        <w:rPr>
          <w:rFonts w:asciiTheme="minorHAnsi" w:hAnsiTheme="minorHAnsi" w:cstheme="minorHAnsi"/>
          <w:sz w:val="22"/>
        </w:rPr>
        <w:t>. Cambridge, MA: MIT Press.</w:t>
      </w:r>
    </w:p>
    <w:p w14:paraId="6FFCD493" w14:textId="0ADD2899" w:rsidR="005855EB"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Hoekman, B. and A. Nicita. 2011. “Trade Policy, Trade Costs and Developing Country Trade.” </w:t>
      </w:r>
      <w:r w:rsidRPr="00B667C4">
        <w:rPr>
          <w:rFonts w:asciiTheme="minorHAnsi" w:hAnsiTheme="minorHAnsi" w:cstheme="minorHAnsi"/>
          <w:i/>
          <w:sz w:val="22"/>
        </w:rPr>
        <w:t xml:space="preserve">World Development, </w:t>
      </w:r>
      <w:r w:rsidRPr="00B667C4">
        <w:rPr>
          <w:rFonts w:asciiTheme="minorHAnsi" w:hAnsiTheme="minorHAnsi" w:cstheme="minorHAnsi"/>
          <w:sz w:val="22"/>
        </w:rPr>
        <w:t>39(12): 2069-79.</w:t>
      </w:r>
    </w:p>
    <w:p w14:paraId="5173F221" w14:textId="77777777" w:rsidR="004117AA" w:rsidRPr="00B667C4" w:rsidRDefault="004117AA" w:rsidP="006D2639">
      <w:pPr>
        <w:ind w:left="720" w:hanging="720"/>
        <w:rPr>
          <w:rFonts w:asciiTheme="minorHAnsi" w:hAnsiTheme="minorHAnsi" w:cstheme="minorHAnsi"/>
          <w:sz w:val="22"/>
        </w:rPr>
      </w:pPr>
      <w:r w:rsidRPr="00B667C4">
        <w:rPr>
          <w:rFonts w:asciiTheme="minorHAnsi" w:hAnsiTheme="minorHAnsi" w:cstheme="minorHAnsi"/>
          <w:sz w:val="22"/>
        </w:rPr>
        <w:t xml:space="preserve">Hoekman, B. and B. Shepherd. 2015a. “Who Profits from Trade Facilitation Initiatives: </w:t>
      </w:r>
      <w:r w:rsidRPr="00B667C4">
        <w:rPr>
          <w:rFonts w:asciiTheme="minorHAnsi" w:eastAsia="GungsuhChe" w:hAnsiTheme="minorHAnsi" w:cstheme="minorHAnsi"/>
          <w:sz w:val="22"/>
        </w:rPr>
        <w:t xml:space="preserve">Implications for African Countries,” </w:t>
      </w:r>
      <w:r w:rsidRPr="00B667C4">
        <w:rPr>
          <w:rFonts w:asciiTheme="minorHAnsi" w:eastAsia="GungsuhChe" w:hAnsiTheme="minorHAnsi" w:cstheme="minorHAnsi"/>
          <w:i/>
          <w:sz w:val="22"/>
        </w:rPr>
        <w:t xml:space="preserve">Journal of African Trade, </w:t>
      </w:r>
      <w:r w:rsidRPr="00B667C4">
        <w:rPr>
          <w:rFonts w:asciiTheme="minorHAnsi" w:eastAsia="GungsuhChe" w:hAnsiTheme="minorHAnsi" w:cstheme="minorHAnsi"/>
          <w:sz w:val="22"/>
        </w:rPr>
        <w:t>1(2): 51-70</w:t>
      </w:r>
      <w:r w:rsidRPr="00B667C4">
        <w:rPr>
          <w:rFonts w:asciiTheme="minorHAnsi" w:hAnsiTheme="minorHAnsi" w:cstheme="minorHAnsi"/>
          <w:sz w:val="22"/>
        </w:rPr>
        <w:t>.</w:t>
      </w:r>
    </w:p>
    <w:p w14:paraId="681CB706" w14:textId="77777777" w:rsidR="004E2D20" w:rsidRPr="00B667C4" w:rsidRDefault="004E2D20" w:rsidP="006D2639">
      <w:pPr>
        <w:ind w:left="720" w:hanging="720"/>
        <w:rPr>
          <w:rFonts w:asciiTheme="minorHAnsi" w:hAnsiTheme="minorHAnsi" w:cstheme="minorHAnsi"/>
          <w:color w:val="000000"/>
          <w:sz w:val="22"/>
          <w:lang w:val="en-US"/>
        </w:rPr>
      </w:pPr>
      <w:r w:rsidRPr="00B667C4">
        <w:rPr>
          <w:rFonts w:asciiTheme="minorHAnsi" w:hAnsiTheme="minorHAnsi" w:cstheme="minorHAnsi"/>
          <w:color w:val="000000"/>
          <w:sz w:val="22"/>
        </w:rPr>
        <w:t xml:space="preserve">Hoekman, B. and B. Shepherd, 2015b. “Services Productivity, Trade Policy and manufacturing Exports,” </w:t>
      </w:r>
      <w:r w:rsidRPr="00B667C4">
        <w:rPr>
          <w:rFonts w:asciiTheme="minorHAnsi" w:hAnsiTheme="minorHAnsi" w:cstheme="minorHAnsi"/>
          <w:i/>
          <w:color w:val="000000"/>
          <w:sz w:val="22"/>
        </w:rPr>
        <w:t>The World Economy</w:t>
      </w:r>
      <w:r w:rsidRPr="00B667C4">
        <w:rPr>
          <w:rFonts w:asciiTheme="minorHAnsi" w:hAnsiTheme="minorHAnsi" w:cstheme="minorHAnsi"/>
          <w:color w:val="000000"/>
          <w:sz w:val="22"/>
        </w:rPr>
        <w:t>,</w:t>
      </w:r>
      <w:r w:rsidRPr="00B667C4">
        <w:rPr>
          <w:rFonts w:asciiTheme="minorHAnsi" w:hAnsiTheme="minorHAnsi" w:cstheme="minorHAnsi"/>
          <w:i/>
          <w:color w:val="000000"/>
          <w:sz w:val="22"/>
        </w:rPr>
        <w:t xml:space="preserve"> </w:t>
      </w:r>
      <w:r w:rsidRPr="00B667C4">
        <w:rPr>
          <w:rStyle w:val="current-selection"/>
          <w:rFonts w:asciiTheme="minorHAnsi" w:hAnsiTheme="minorHAnsi" w:cstheme="minorHAnsi"/>
          <w:color w:val="000000"/>
          <w:sz w:val="22"/>
          <w:shd w:val="clear" w:color="auto" w:fill="FFFFFF"/>
        </w:rPr>
        <w:t>doi:</w:t>
      </w:r>
      <w:r w:rsidRPr="00B667C4">
        <w:rPr>
          <w:rStyle w:val="a"/>
          <w:rFonts w:asciiTheme="minorHAnsi" w:hAnsiTheme="minorHAnsi" w:cstheme="minorHAnsi"/>
          <w:color w:val="000000"/>
          <w:sz w:val="22"/>
          <w:shd w:val="clear" w:color="auto" w:fill="FFFFFF"/>
        </w:rPr>
        <w:t xml:space="preserve"> </w:t>
      </w:r>
      <w:r w:rsidRPr="00B667C4">
        <w:rPr>
          <w:rStyle w:val="current-selection"/>
          <w:rFonts w:asciiTheme="minorHAnsi" w:hAnsiTheme="minorHAnsi" w:cstheme="minorHAnsi"/>
          <w:color w:val="000000"/>
          <w:sz w:val="22"/>
          <w:shd w:val="clear" w:color="auto" w:fill="FFFFFF"/>
        </w:rPr>
        <w:t>10.1111/twec.12333.</w:t>
      </w:r>
    </w:p>
    <w:p w14:paraId="45E6BB25" w14:textId="7E984C9C" w:rsidR="00325072" w:rsidRPr="00B667C4" w:rsidRDefault="004E2D20" w:rsidP="006D2639">
      <w:pPr>
        <w:ind w:left="720" w:hanging="720"/>
        <w:rPr>
          <w:rFonts w:asciiTheme="minorHAnsi" w:eastAsia="GungsuhChe" w:hAnsiTheme="minorHAnsi" w:cstheme="minorHAnsi"/>
          <w:sz w:val="22"/>
        </w:rPr>
      </w:pPr>
      <w:r w:rsidRPr="00B667C4">
        <w:rPr>
          <w:rFonts w:asciiTheme="minorHAnsi" w:eastAsia="GungsuhChe" w:hAnsiTheme="minorHAnsi" w:cstheme="minorHAnsi"/>
          <w:sz w:val="22"/>
        </w:rPr>
        <w:t xml:space="preserve">Iwanow, T. and C. Kirkpatrick, 2009, “Trade Facilitation and Manufactured Exports: Is Africa Different?” </w:t>
      </w:r>
      <w:r w:rsidRPr="00B667C4">
        <w:rPr>
          <w:rFonts w:asciiTheme="minorHAnsi" w:eastAsia="GungsuhChe" w:hAnsiTheme="minorHAnsi" w:cstheme="minorHAnsi"/>
          <w:i/>
          <w:iCs/>
          <w:sz w:val="22"/>
        </w:rPr>
        <w:t>World Development</w:t>
      </w:r>
      <w:r w:rsidRPr="00B667C4">
        <w:rPr>
          <w:rFonts w:asciiTheme="minorHAnsi" w:eastAsia="GungsuhChe" w:hAnsiTheme="minorHAnsi" w:cstheme="minorHAnsi"/>
          <w:sz w:val="22"/>
        </w:rPr>
        <w:t>, 37(6): 1039-50.</w:t>
      </w:r>
    </w:p>
    <w:p w14:paraId="770F4BA3" w14:textId="33BFE978" w:rsidR="00D4010E" w:rsidRPr="00B667C4" w:rsidRDefault="000447A5" w:rsidP="006D2639">
      <w:pPr>
        <w:ind w:left="720" w:hanging="720"/>
        <w:rPr>
          <w:rFonts w:asciiTheme="minorHAnsi" w:eastAsiaTheme="minorHAnsi" w:hAnsiTheme="minorHAnsi" w:cstheme="minorHAnsi"/>
          <w:sz w:val="22"/>
        </w:rPr>
      </w:pPr>
      <w:r w:rsidRPr="00B667C4">
        <w:rPr>
          <w:rFonts w:asciiTheme="minorHAnsi" w:eastAsiaTheme="minorHAnsi" w:hAnsiTheme="minorHAnsi" w:cstheme="minorHAnsi"/>
          <w:sz w:val="22"/>
        </w:rPr>
        <w:t xml:space="preserve">Kaplinsky, R. and M. Morris, 2015, “Thinning and Thickening: Productive Sector Policies in the Era of Global Value Chains,” </w:t>
      </w:r>
      <w:r w:rsidRPr="00B667C4">
        <w:rPr>
          <w:rFonts w:asciiTheme="minorHAnsi" w:eastAsiaTheme="minorHAnsi" w:hAnsiTheme="minorHAnsi" w:cstheme="minorHAnsi"/>
          <w:i/>
          <w:sz w:val="22"/>
        </w:rPr>
        <w:t>European Journal of Development Research</w:t>
      </w:r>
      <w:r w:rsidRPr="00B667C4">
        <w:rPr>
          <w:rFonts w:asciiTheme="minorHAnsi" w:eastAsiaTheme="minorHAnsi" w:hAnsiTheme="minorHAnsi" w:cstheme="minorHAnsi"/>
          <w:sz w:val="22"/>
        </w:rPr>
        <w:t xml:space="preserve">, doi:10.1057/ejdr.2015.29. </w:t>
      </w:r>
    </w:p>
    <w:p w14:paraId="20D5A4C7" w14:textId="620F693F" w:rsidR="00D4010E" w:rsidRPr="008F3364" w:rsidRDefault="004E2D20" w:rsidP="006D2639">
      <w:pPr>
        <w:pStyle w:val="Bibliography"/>
        <w:ind w:left="720" w:hanging="720"/>
        <w:rPr>
          <w:rFonts w:asciiTheme="minorHAnsi" w:hAnsiTheme="minorHAnsi" w:cstheme="minorHAnsi"/>
          <w:sz w:val="22"/>
        </w:rPr>
      </w:pPr>
      <w:r w:rsidRPr="008F3364">
        <w:rPr>
          <w:rFonts w:asciiTheme="minorHAnsi" w:eastAsia="GungsuhChe" w:hAnsiTheme="minorHAnsi" w:cstheme="minorHAnsi"/>
          <w:sz w:val="22"/>
        </w:rPr>
        <w:t>Kirk, R. 201</w:t>
      </w:r>
      <w:r w:rsidR="008F3364" w:rsidRPr="008F3364">
        <w:rPr>
          <w:rFonts w:asciiTheme="minorHAnsi" w:eastAsia="GungsuhChe" w:hAnsiTheme="minorHAnsi" w:cstheme="minorHAnsi"/>
          <w:sz w:val="22"/>
        </w:rPr>
        <w:t>5</w:t>
      </w:r>
      <w:r w:rsidRPr="008F3364">
        <w:rPr>
          <w:rFonts w:asciiTheme="minorHAnsi" w:eastAsia="GungsuhChe" w:hAnsiTheme="minorHAnsi" w:cstheme="minorHAnsi"/>
          <w:sz w:val="22"/>
        </w:rPr>
        <w:t>. “The Political Economy of Trade Facilitation in Easte</w:t>
      </w:r>
      <w:r w:rsidR="005855EB" w:rsidRPr="008F3364">
        <w:rPr>
          <w:rFonts w:asciiTheme="minorHAnsi" w:eastAsia="GungsuhChe" w:hAnsiTheme="minorHAnsi" w:cstheme="minorHAnsi"/>
          <w:sz w:val="22"/>
        </w:rPr>
        <w:t xml:space="preserve">rn and Southern Africa,” </w:t>
      </w:r>
      <w:r w:rsidR="008F3364" w:rsidRPr="008F3364">
        <w:rPr>
          <w:rFonts w:asciiTheme="minorHAnsi" w:eastAsia="GungsuhChe" w:hAnsiTheme="minorHAnsi" w:cstheme="minorHAnsi"/>
          <w:sz w:val="22"/>
        </w:rPr>
        <w:t xml:space="preserve">in </w:t>
      </w:r>
      <w:r w:rsidR="008F3364" w:rsidRPr="008F3364">
        <w:rPr>
          <w:rFonts w:asciiTheme="minorHAnsi" w:hAnsiTheme="minorHAnsi" w:cstheme="minorHAnsi"/>
          <w:sz w:val="22"/>
        </w:rPr>
        <w:t xml:space="preserve">P. Brenton and B. Hoffman (Eds.), </w:t>
      </w:r>
      <w:r w:rsidR="008F3364" w:rsidRPr="008F3364">
        <w:rPr>
          <w:rFonts w:asciiTheme="minorHAnsi" w:hAnsiTheme="minorHAnsi" w:cstheme="minorHAnsi"/>
          <w:i/>
          <w:sz w:val="22"/>
        </w:rPr>
        <w:t>Political Economy of Regional Integration in Sub-Saharan Africa</w:t>
      </w:r>
      <w:r w:rsidR="008F3364" w:rsidRPr="008F3364">
        <w:rPr>
          <w:rFonts w:asciiTheme="minorHAnsi" w:hAnsiTheme="minorHAnsi" w:cstheme="minorHAnsi"/>
          <w:sz w:val="22"/>
        </w:rPr>
        <w:t>. Washington DC: World Bank.</w:t>
      </w:r>
    </w:p>
    <w:p w14:paraId="25DF79E7" w14:textId="128E3F20" w:rsidR="00325072" w:rsidRPr="00B667C4" w:rsidRDefault="004E2D20" w:rsidP="006D2639">
      <w:pPr>
        <w:ind w:left="720" w:hanging="720"/>
        <w:rPr>
          <w:rFonts w:asciiTheme="minorHAnsi" w:eastAsia="GungsuhChe" w:hAnsiTheme="minorHAnsi" w:cstheme="minorHAnsi"/>
          <w:sz w:val="22"/>
        </w:rPr>
      </w:pPr>
      <w:r w:rsidRPr="00B667C4">
        <w:rPr>
          <w:rFonts w:asciiTheme="minorHAnsi" w:eastAsia="GungsuhChe" w:hAnsiTheme="minorHAnsi" w:cstheme="minorHAnsi"/>
          <w:sz w:val="22"/>
        </w:rPr>
        <w:t xml:space="preserve">Königer, J., M. Busse and R. Hoekstra. 2011. “The Impact of Aid for Trade Facilitation on the Costs of Trading, </w:t>
      </w:r>
      <w:r w:rsidRPr="00B667C4">
        <w:rPr>
          <w:rFonts w:asciiTheme="minorHAnsi" w:eastAsia="GungsuhChe" w:hAnsiTheme="minorHAnsi" w:cstheme="minorHAnsi"/>
          <w:i/>
          <w:iCs/>
          <w:sz w:val="22"/>
        </w:rPr>
        <w:t>Kyklos</w:t>
      </w:r>
      <w:r w:rsidRPr="00B667C4">
        <w:rPr>
          <w:rFonts w:asciiTheme="minorHAnsi" w:eastAsia="GungsuhChe" w:hAnsiTheme="minorHAnsi" w:cstheme="minorHAnsi"/>
          <w:sz w:val="22"/>
        </w:rPr>
        <w:t xml:space="preserve">, 65(2): 143-63. </w:t>
      </w:r>
    </w:p>
    <w:p w14:paraId="71B01759" w14:textId="3C9BA4D2" w:rsidR="00325072" w:rsidRPr="00B667C4" w:rsidRDefault="00325072" w:rsidP="006D2639">
      <w:pPr>
        <w:ind w:left="720" w:hanging="720"/>
        <w:rPr>
          <w:rFonts w:asciiTheme="minorHAnsi" w:eastAsia="GungsuhChe" w:hAnsiTheme="minorHAnsi" w:cstheme="minorHAnsi"/>
          <w:sz w:val="22"/>
        </w:rPr>
      </w:pPr>
      <w:r w:rsidRPr="00B667C4">
        <w:rPr>
          <w:rFonts w:asciiTheme="minorHAnsi" w:eastAsia="GungsuhChe" w:hAnsiTheme="minorHAnsi" w:cstheme="minorHAnsi"/>
          <w:sz w:val="22"/>
        </w:rPr>
        <w:t>Kunaka, C.</w:t>
      </w:r>
      <w:r w:rsidR="006D3DEC" w:rsidRPr="00B667C4">
        <w:rPr>
          <w:rFonts w:asciiTheme="minorHAnsi" w:eastAsia="GungsuhChe" w:hAnsiTheme="minorHAnsi" w:cstheme="minorHAnsi"/>
          <w:sz w:val="22"/>
        </w:rPr>
        <w:t>,</w:t>
      </w:r>
      <w:r w:rsidRPr="00B667C4">
        <w:rPr>
          <w:rFonts w:asciiTheme="minorHAnsi" w:eastAsia="GungsuhChe" w:hAnsiTheme="minorHAnsi" w:cstheme="minorHAnsi"/>
          <w:sz w:val="22"/>
        </w:rPr>
        <w:t xml:space="preserve"> G. Raballand and M. Fitzmaurice</w:t>
      </w:r>
      <w:r w:rsidR="00C75362" w:rsidRPr="00B667C4">
        <w:rPr>
          <w:rFonts w:asciiTheme="minorHAnsi" w:eastAsia="GungsuhChe" w:hAnsiTheme="minorHAnsi" w:cstheme="minorHAnsi"/>
          <w:sz w:val="22"/>
        </w:rPr>
        <w:t xml:space="preserve">, </w:t>
      </w:r>
      <w:r w:rsidRPr="00B667C4">
        <w:rPr>
          <w:rFonts w:asciiTheme="minorHAnsi" w:eastAsia="GungsuhChe" w:hAnsiTheme="minorHAnsi" w:cstheme="minorHAnsi"/>
          <w:sz w:val="22"/>
        </w:rPr>
        <w:t>2016</w:t>
      </w:r>
      <w:r w:rsidR="00C75362" w:rsidRPr="00B667C4">
        <w:rPr>
          <w:rFonts w:asciiTheme="minorHAnsi" w:eastAsia="GungsuhChe" w:hAnsiTheme="minorHAnsi" w:cstheme="minorHAnsi"/>
          <w:sz w:val="22"/>
        </w:rPr>
        <w:t>, “</w:t>
      </w:r>
      <w:r w:rsidRPr="00B667C4">
        <w:rPr>
          <w:rFonts w:asciiTheme="minorHAnsi" w:eastAsia="GungsuhChe" w:hAnsiTheme="minorHAnsi" w:cstheme="minorHAnsi"/>
          <w:sz w:val="22"/>
        </w:rPr>
        <w:t>How trucking services have improved and may contribute to economic development: The case of East Africa,</w:t>
      </w:r>
      <w:r w:rsidR="00C75362" w:rsidRPr="00B667C4">
        <w:rPr>
          <w:rFonts w:asciiTheme="minorHAnsi" w:eastAsia="GungsuhChe" w:hAnsiTheme="minorHAnsi" w:cstheme="minorHAnsi"/>
          <w:sz w:val="22"/>
        </w:rPr>
        <w:t>”</w:t>
      </w:r>
      <w:r w:rsidRPr="00B667C4">
        <w:rPr>
          <w:rFonts w:asciiTheme="minorHAnsi" w:eastAsia="GungsuhChe" w:hAnsiTheme="minorHAnsi" w:cstheme="minorHAnsi"/>
          <w:sz w:val="22"/>
        </w:rPr>
        <w:t xml:space="preserve"> UNU-WIDER </w:t>
      </w:r>
      <w:r w:rsidR="00BA3223" w:rsidRPr="00B667C4">
        <w:rPr>
          <w:rFonts w:asciiTheme="minorHAnsi" w:eastAsia="GungsuhChe" w:hAnsiTheme="minorHAnsi" w:cstheme="minorHAnsi"/>
          <w:sz w:val="22"/>
        </w:rPr>
        <w:t xml:space="preserve">working </w:t>
      </w:r>
      <w:r w:rsidRPr="00B667C4">
        <w:rPr>
          <w:rFonts w:asciiTheme="minorHAnsi" w:eastAsia="GungsuhChe" w:hAnsiTheme="minorHAnsi" w:cstheme="minorHAnsi"/>
          <w:sz w:val="22"/>
        </w:rPr>
        <w:t>paper</w:t>
      </w:r>
      <w:r w:rsidR="00BA3223" w:rsidRPr="00B667C4">
        <w:rPr>
          <w:rFonts w:asciiTheme="minorHAnsi" w:eastAsia="GungsuhChe" w:hAnsiTheme="minorHAnsi" w:cstheme="minorHAnsi"/>
          <w:sz w:val="22"/>
        </w:rPr>
        <w:t xml:space="preserve"> 152</w:t>
      </w:r>
      <w:r w:rsidRPr="00B667C4">
        <w:rPr>
          <w:rFonts w:asciiTheme="minorHAnsi" w:eastAsia="GungsuhChe" w:hAnsiTheme="minorHAnsi" w:cstheme="minorHAnsi"/>
          <w:sz w:val="22"/>
        </w:rPr>
        <w:t>.</w:t>
      </w:r>
    </w:p>
    <w:p w14:paraId="4617AAE3" w14:textId="27253230" w:rsidR="00CA185D" w:rsidRPr="00B667C4" w:rsidRDefault="004E2D20" w:rsidP="006D2639">
      <w:pPr>
        <w:ind w:left="720" w:hanging="720"/>
        <w:rPr>
          <w:rFonts w:asciiTheme="minorHAnsi" w:eastAsia="GungsuhChe" w:hAnsiTheme="minorHAnsi" w:cstheme="minorHAnsi"/>
          <w:sz w:val="22"/>
        </w:rPr>
      </w:pPr>
      <w:r w:rsidRPr="00B667C4">
        <w:rPr>
          <w:rFonts w:asciiTheme="minorHAnsi" w:eastAsia="GungsuhChe" w:hAnsiTheme="minorHAnsi" w:cstheme="minorHAnsi"/>
          <w:sz w:val="22"/>
        </w:rPr>
        <w:t xml:space="preserve">Low, P. 2013. “The Role of Services”, in Deborah Elms and Patrick Low (eds.), </w:t>
      </w:r>
      <w:r w:rsidRPr="00B667C4">
        <w:rPr>
          <w:rFonts w:asciiTheme="minorHAnsi" w:eastAsia="GungsuhChe" w:hAnsiTheme="minorHAnsi" w:cstheme="minorHAnsi"/>
          <w:i/>
          <w:iCs/>
          <w:sz w:val="22"/>
        </w:rPr>
        <w:t>Global value chains in a changing world</w:t>
      </w:r>
      <w:r w:rsidRPr="00B667C4">
        <w:rPr>
          <w:rFonts w:asciiTheme="minorHAnsi" w:eastAsia="GungsuhChe" w:hAnsiTheme="minorHAnsi" w:cstheme="minorHAnsi"/>
          <w:sz w:val="22"/>
        </w:rPr>
        <w:t xml:space="preserve">, </w:t>
      </w:r>
      <w:r w:rsidR="00F95579" w:rsidRPr="00B667C4">
        <w:rPr>
          <w:rFonts w:asciiTheme="minorHAnsi" w:eastAsia="GungsuhChe" w:hAnsiTheme="minorHAnsi" w:cstheme="minorHAnsi"/>
          <w:sz w:val="22"/>
        </w:rPr>
        <w:t xml:space="preserve">Geneva: </w:t>
      </w:r>
      <w:r w:rsidRPr="00B667C4">
        <w:rPr>
          <w:rFonts w:asciiTheme="minorHAnsi" w:eastAsia="GungsuhChe" w:hAnsiTheme="minorHAnsi" w:cstheme="minorHAnsi"/>
          <w:sz w:val="22"/>
        </w:rPr>
        <w:t xml:space="preserve">World Trade Organization. </w:t>
      </w:r>
    </w:p>
    <w:p w14:paraId="1503AC12" w14:textId="68BB2638" w:rsidR="00CA185D"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sz w:val="22"/>
        </w:rPr>
        <w:t>Lui</w:t>
      </w:r>
      <w:r w:rsidR="00E83653" w:rsidRPr="00B667C4">
        <w:rPr>
          <w:rFonts w:asciiTheme="minorHAnsi" w:hAnsiTheme="minorHAnsi" w:cstheme="minorHAnsi"/>
          <w:sz w:val="22"/>
        </w:rPr>
        <w:t xml:space="preserve">, </w:t>
      </w:r>
      <w:r w:rsidRPr="00B667C4">
        <w:rPr>
          <w:rFonts w:asciiTheme="minorHAnsi" w:hAnsiTheme="minorHAnsi" w:cstheme="minorHAnsi"/>
          <w:sz w:val="22"/>
        </w:rPr>
        <w:t>D</w:t>
      </w:r>
      <w:r w:rsidR="00DE391F">
        <w:rPr>
          <w:rFonts w:asciiTheme="minorHAnsi" w:hAnsiTheme="minorHAnsi" w:cstheme="minorHAnsi"/>
          <w:sz w:val="22"/>
        </w:rPr>
        <w:t>.</w:t>
      </w:r>
      <w:r w:rsidR="00E83653" w:rsidRPr="00B667C4">
        <w:rPr>
          <w:rFonts w:asciiTheme="minorHAnsi" w:hAnsiTheme="minorHAnsi" w:cstheme="minorHAnsi"/>
          <w:sz w:val="22"/>
        </w:rPr>
        <w:t xml:space="preserve"> </w:t>
      </w:r>
      <w:r w:rsidR="00CA185D" w:rsidRPr="00B667C4">
        <w:rPr>
          <w:rFonts w:asciiTheme="minorHAnsi" w:hAnsiTheme="minorHAnsi" w:cstheme="minorHAnsi"/>
          <w:sz w:val="22"/>
        </w:rPr>
        <w:t>and</w:t>
      </w:r>
      <w:r w:rsidRPr="00B667C4">
        <w:rPr>
          <w:rFonts w:asciiTheme="minorHAnsi" w:hAnsiTheme="minorHAnsi" w:cstheme="minorHAnsi"/>
          <w:sz w:val="22"/>
        </w:rPr>
        <w:t xml:space="preserve"> </w:t>
      </w:r>
      <w:r w:rsidR="00E83653" w:rsidRPr="00B667C4">
        <w:rPr>
          <w:rFonts w:asciiTheme="minorHAnsi" w:hAnsiTheme="minorHAnsi" w:cstheme="minorHAnsi"/>
          <w:sz w:val="22"/>
        </w:rPr>
        <w:t xml:space="preserve">C. </w:t>
      </w:r>
      <w:r w:rsidRPr="00B667C4">
        <w:rPr>
          <w:rFonts w:asciiTheme="minorHAnsi" w:hAnsiTheme="minorHAnsi" w:cstheme="minorHAnsi"/>
          <w:sz w:val="22"/>
        </w:rPr>
        <w:t>Siziba</w:t>
      </w:r>
      <w:r w:rsidR="00E83653" w:rsidRPr="00B667C4">
        <w:rPr>
          <w:rFonts w:asciiTheme="minorHAnsi" w:hAnsiTheme="minorHAnsi" w:cstheme="minorHAnsi"/>
          <w:sz w:val="22"/>
        </w:rPr>
        <w:t xml:space="preserve">, </w:t>
      </w:r>
      <w:r w:rsidRPr="00B667C4">
        <w:rPr>
          <w:rFonts w:asciiTheme="minorHAnsi" w:hAnsiTheme="minorHAnsi" w:cstheme="minorHAnsi"/>
          <w:sz w:val="22"/>
        </w:rPr>
        <w:t xml:space="preserve">2012, </w:t>
      </w:r>
      <w:r w:rsidRPr="00B667C4">
        <w:rPr>
          <w:rFonts w:asciiTheme="minorHAnsi" w:hAnsiTheme="minorHAnsi" w:cstheme="minorHAnsi"/>
          <w:i/>
          <w:sz w:val="22"/>
        </w:rPr>
        <w:t xml:space="preserve">Trade Facilitation Issues in the Political Economy of Regional Integration in Southern Africa, </w:t>
      </w:r>
      <w:r w:rsidRPr="00B667C4">
        <w:rPr>
          <w:rFonts w:asciiTheme="minorHAnsi" w:hAnsiTheme="minorHAnsi" w:cstheme="minorHAnsi"/>
          <w:sz w:val="22"/>
        </w:rPr>
        <w:t xml:space="preserve">Maastricht, ECPDM and </w:t>
      </w:r>
      <w:r w:rsidR="00F95579" w:rsidRPr="00B667C4">
        <w:rPr>
          <w:rFonts w:asciiTheme="minorHAnsi" w:hAnsiTheme="minorHAnsi" w:cstheme="minorHAnsi"/>
          <w:sz w:val="22"/>
        </w:rPr>
        <w:t xml:space="preserve">Johannesburg, </w:t>
      </w:r>
      <w:r w:rsidRPr="00B667C4">
        <w:rPr>
          <w:rFonts w:asciiTheme="minorHAnsi" w:hAnsiTheme="minorHAnsi" w:cstheme="minorHAnsi"/>
          <w:sz w:val="22"/>
        </w:rPr>
        <w:t>SAIIA.</w:t>
      </w:r>
    </w:p>
    <w:p w14:paraId="62937CF5" w14:textId="77777777" w:rsidR="004E2D20" w:rsidRPr="00B667C4" w:rsidRDefault="004E2D20" w:rsidP="006D2639">
      <w:pPr>
        <w:tabs>
          <w:tab w:val="left" w:pos="0"/>
          <w:tab w:val="left" w:pos="600"/>
          <w:tab w:val="left" w:pos="1170"/>
          <w:tab w:val="left" w:pos="1200"/>
          <w:tab w:val="left" w:pos="1783"/>
          <w:tab w:val="left" w:pos="2400"/>
          <w:tab w:val="left" w:pos="3000"/>
          <w:tab w:val="left" w:pos="3600"/>
          <w:tab w:val="left" w:pos="4200"/>
          <w:tab w:val="left" w:pos="4800"/>
          <w:tab w:val="left" w:pos="5383"/>
          <w:tab w:val="left" w:pos="6000"/>
          <w:tab w:val="left" w:pos="6600"/>
          <w:tab w:val="left" w:pos="7200"/>
          <w:tab w:val="left" w:pos="7800"/>
          <w:tab w:val="left" w:pos="8640"/>
        </w:tabs>
        <w:ind w:left="720" w:hanging="720"/>
        <w:rPr>
          <w:rFonts w:asciiTheme="minorHAnsi" w:hAnsiTheme="minorHAnsi" w:cstheme="minorHAnsi"/>
          <w:color w:val="000000"/>
          <w:sz w:val="22"/>
        </w:rPr>
      </w:pPr>
      <w:r w:rsidRPr="00B667C4">
        <w:rPr>
          <w:rFonts w:asciiTheme="minorHAnsi" w:hAnsiTheme="minorHAnsi" w:cstheme="minorHAnsi"/>
          <w:sz w:val="22"/>
        </w:rPr>
        <w:t xml:space="preserve">Mattoo, A. and L. Payton (eds.), 2007. </w:t>
      </w:r>
      <w:r w:rsidRPr="00B667C4">
        <w:rPr>
          <w:rFonts w:asciiTheme="minorHAnsi" w:hAnsiTheme="minorHAnsi" w:cstheme="minorHAnsi"/>
          <w:i/>
          <w:iCs/>
          <w:sz w:val="22"/>
        </w:rPr>
        <w:t>Services Trade and Development: The Experience of Zambia</w:t>
      </w:r>
      <w:r w:rsidRPr="00B667C4">
        <w:rPr>
          <w:rFonts w:asciiTheme="minorHAnsi" w:hAnsiTheme="minorHAnsi" w:cstheme="minorHAnsi"/>
          <w:sz w:val="22"/>
        </w:rPr>
        <w:t>., Washington D.C.: Palgrave and World Bank.</w:t>
      </w:r>
    </w:p>
    <w:p w14:paraId="0134E43A" w14:textId="77777777" w:rsidR="000447A5" w:rsidRPr="00B667C4" w:rsidRDefault="000447A5" w:rsidP="006D2639">
      <w:pPr>
        <w:ind w:left="720" w:hanging="720"/>
        <w:rPr>
          <w:rFonts w:asciiTheme="minorHAnsi" w:hAnsiTheme="minorHAnsi" w:cstheme="minorHAnsi"/>
          <w:sz w:val="22"/>
        </w:rPr>
      </w:pPr>
      <w:r w:rsidRPr="00B667C4">
        <w:rPr>
          <w:rFonts w:asciiTheme="minorHAnsi" w:hAnsiTheme="minorHAnsi" w:cstheme="minorHAnsi"/>
          <w:sz w:val="22"/>
        </w:rPr>
        <w:t xml:space="preserve">Marti, L., R. Puertas, and L. Garcia, 2014, “Relevance of trade facilitation in emerging countries’ exports,” </w:t>
      </w:r>
      <w:r w:rsidRPr="00B667C4">
        <w:rPr>
          <w:rFonts w:asciiTheme="minorHAnsi" w:hAnsiTheme="minorHAnsi" w:cstheme="minorHAnsi"/>
          <w:i/>
          <w:sz w:val="22"/>
        </w:rPr>
        <w:t>The Journal of International Trade &amp; Economic Development</w:t>
      </w:r>
      <w:r w:rsidRPr="00B667C4">
        <w:rPr>
          <w:rFonts w:asciiTheme="minorHAnsi" w:hAnsiTheme="minorHAnsi" w:cstheme="minorHAnsi"/>
          <w:sz w:val="22"/>
        </w:rPr>
        <w:t xml:space="preserve">, 23L: 202-22. </w:t>
      </w:r>
    </w:p>
    <w:p w14:paraId="4F2DA54F" w14:textId="57813048" w:rsidR="004E2D20"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rPr>
        <w:t>Miroudot, S. and B. Shepherd, 201</w:t>
      </w:r>
      <w:r w:rsidR="00F95579" w:rsidRPr="00B667C4">
        <w:rPr>
          <w:rFonts w:asciiTheme="minorHAnsi" w:hAnsiTheme="minorHAnsi" w:cstheme="minorHAnsi"/>
          <w:color w:val="000000"/>
          <w:sz w:val="22"/>
        </w:rPr>
        <w:t>6</w:t>
      </w:r>
      <w:r w:rsidRPr="00B667C4">
        <w:rPr>
          <w:rFonts w:asciiTheme="minorHAnsi" w:hAnsiTheme="minorHAnsi" w:cstheme="minorHAnsi"/>
          <w:color w:val="000000"/>
          <w:sz w:val="22"/>
        </w:rPr>
        <w:t>, “Trade Costs and Global Value Chains in Services,” in M. Roy and P. Sauv</w:t>
      </w:r>
      <w:r w:rsidR="00F95579" w:rsidRPr="00B667C4">
        <w:rPr>
          <w:rFonts w:asciiTheme="minorHAnsi" w:hAnsiTheme="minorHAnsi" w:cstheme="minorHAnsi"/>
          <w:color w:val="000000"/>
          <w:sz w:val="22"/>
        </w:rPr>
        <w:t>é</w:t>
      </w:r>
      <w:r w:rsidRPr="00B667C4">
        <w:rPr>
          <w:rFonts w:asciiTheme="minorHAnsi" w:hAnsiTheme="minorHAnsi" w:cstheme="minorHAnsi"/>
          <w:color w:val="000000"/>
          <w:sz w:val="22"/>
        </w:rPr>
        <w:t xml:space="preserve"> (eds.), </w:t>
      </w:r>
      <w:r w:rsidRPr="00B667C4">
        <w:rPr>
          <w:rFonts w:asciiTheme="minorHAnsi" w:hAnsiTheme="minorHAnsi" w:cstheme="minorHAnsi"/>
          <w:i/>
          <w:color w:val="000000"/>
          <w:sz w:val="22"/>
        </w:rPr>
        <w:t>Research Handbook on Trade in Services</w:t>
      </w:r>
      <w:r w:rsidRPr="00B667C4">
        <w:rPr>
          <w:rFonts w:asciiTheme="minorHAnsi" w:hAnsiTheme="minorHAnsi" w:cstheme="minorHAnsi"/>
          <w:color w:val="000000"/>
          <w:sz w:val="22"/>
        </w:rPr>
        <w:t>, Edward Elgar.</w:t>
      </w:r>
    </w:p>
    <w:p w14:paraId="2FB059CA" w14:textId="5E0CFEF0" w:rsidR="000447A5" w:rsidRPr="00B667C4" w:rsidRDefault="000447A5" w:rsidP="006D2639">
      <w:pPr>
        <w:ind w:left="720" w:hanging="720"/>
        <w:rPr>
          <w:rFonts w:asciiTheme="minorHAnsi" w:hAnsiTheme="minorHAnsi" w:cstheme="minorHAnsi"/>
          <w:sz w:val="22"/>
        </w:rPr>
      </w:pPr>
      <w:r w:rsidRPr="00B667C4">
        <w:rPr>
          <w:rFonts w:asciiTheme="minorHAnsi" w:hAnsiTheme="minorHAnsi" w:cstheme="minorHAnsi"/>
          <w:sz w:val="22"/>
        </w:rPr>
        <w:t>Moïsé, E., and S. Sorescu. 2013. “</w:t>
      </w:r>
      <w:hyperlink r:id="rId20" w:tgtFrame="_blank" w:history="1">
        <w:r w:rsidRPr="00B667C4">
          <w:rPr>
            <w:rFonts w:asciiTheme="minorHAnsi" w:hAnsiTheme="minorHAnsi" w:cstheme="minorHAnsi"/>
            <w:sz w:val="22"/>
          </w:rPr>
          <w:t>Trade Facilitation Indicators: The Potential Impact of Trade Facilitation on Developing Countries' Trade</w:t>
        </w:r>
      </w:hyperlink>
      <w:r w:rsidR="00800D37" w:rsidRPr="00B667C4">
        <w:rPr>
          <w:rFonts w:asciiTheme="minorHAnsi" w:hAnsiTheme="minorHAnsi" w:cstheme="minorHAnsi"/>
          <w:sz w:val="22"/>
        </w:rPr>
        <w:t>,</w:t>
      </w:r>
      <w:r w:rsidRPr="00B667C4">
        <w:rPr>
          <w:rFonts w:asciiTheme="minorHAnsi" w:hAnsiTheme="minorHAnsi" w:cstheme="minorHAnsi"/>
          <w:sz w:val="22"/>
        </w:rPr>
        <w:t>” Trade Policy Paper 144</w:t>
      </w:r>
      <w:r w:rsidR="00800D37" w:rsidRPr="00B667C4">
        <w:rPr>
          <w:rFonts w:asciiTheme="minorHAnsi" w:hAnsiTheme="minorHAnsi" w:cstheme="minorHAnsi"/>
          <w:sz w:val="22"/>
        </w:rPr>
        <w:t>. Paris:</w:t>
      </w:r>
      <w:r w:rsidRPr="00B667C4">
        <w:rPr>
          <w:rFonts w:asciiTheme="minorHAnsi" w:hAnsiTheme="minorHAnsi" w:cstheme="minorHAnsi"/>
          <w:sz w:val="22"/>
        </w:rPr>
        <w:t xml:space="preserve"> OECD.</w:t>
      </w:r>
    </w:p>
    <w:p w14:paraId="5517DD22" w14:textId="77777777" w:rsidR="000447A5" w:rsidRPr="00B667C4" w:rsidRDefault="000447A5" w:rsidP="006D2639">
      <w:pPr>
        <w:ind w:left="720" w:hanging="720"/>
        <w:rPr>
          <w:rFonts w:asciiTheme="minorHAnsi" w:hAnsiTheme="minorHAnsi" w:cstheme="minorHAnsi"/>
          <w:sz w:val="22"/>
        </w:rPr>
      </w:pPr>
      <w:r w:rsidRPr="00B667C4">
        <w:rPr>
          <w:rFonts w:asciiTheme="minorHAnsi" w:hAnsiTheme="minorHAnsi" w:cstheme="minorHAnsi"/>
          <w:sz w:val="22"/>
        </w:rPr>
        <w:t xml:space="preserve">Morris, M. and J. Fessehaie, 2015, “The industrialization challenge for Africa: Towards a commodities based industrialization path,” </w:t>
      </w:r>
      <w:r w:rsidRPr="00B667C4">
        <w:rPr>
          <w:rFonts w:asciiTheme="minorHAnsi" w:hAnsiTheme="minorHAnsi" w:cstheme="minorHAnsi"/>
          <w:i/>
          <w:sz w:val="22"/>
        </w:rPr>
        <w:t xml:space="preserve">Journal of African Trade, </w:t>
      </w:r>
      <w:r w:rsidRPr="00B667C4">
        <w:rPr>
          <w:rFonts w:asciiTheme="minorHAnsi" w:hAnsiTheme="minorHAnsi" w:cstheme="minorHAnsi"/>
          <w:sz w:val="22"/>
        </w:rPr>
        <w:t>1(1): 25-36.</w:t>
      </w:r>
    </w:p>
    <w:p w14:paraId="307654D1" w14:textId="3135036B" w:rsidR="00AD77C9" w:rsidRPr="00B667C4" w:rsidRDefault="00AD77C9" w:rsidP="006D2639">
      <w:pPr>
        <w:ind w:left="720" w:hanging="720"/>
        <w:rPr>
          <w:rFonts w:asciiTheme="minorHAnsi" w:hAnsiTheme="minorHAnsi" w:cstheme="minorHAnsi"/>
          <w:sz w:val="22"/>
        </w:rPr>
      </w:pPr>
      <w:r w:rsidRPr="00B667C4">
        <w:rPr>
          <w:rFonts w:asciiTheme="minorHAnsi" w:hAnsiTheme="minorHAnsi" w:cstheme="minorHAnsi"/>
          <w:sz w:val="22"/>
        </w:rPr>
        <w:t xml:space="preserve">Njinkeu, D., and </w:t>
      </w:r>
      <w:r w:rsidR="00457F1E" w:rsidRPr="00B667C4">
        <w:rPr>
          <w:rFonts w:asciiTheme="minorHAnsi" w:hAnsiTheme="minorHAnsi" w:cstheme="minorHAnsi"/>
          <w:sz w:val="22"/>
        </w:rPr>
        <w:t xml:space="preserve">O. </w:t>
      </w:r>
      <w:r w:rsidRPr="00B667C4">
        <w:rPr>
          <w:rFonts w:asciiTheme="minorHAnsi" w:hAnsiTheme="minorHAnsi" w:cstheme="minorHAnsi"/>
          <w:sz w:val="22"/>
        </w:rPr>
        <w:t>Hartmann, 2015</w:t>
      </w:r>
      <w:r w:rsidR="00457F1E" w:rsidRPr="00B667C4">
        <w:rPr>
          <w:rFonts w:asciiTheme="minorHAnsi" w:hAnsiTheme="minorHAnsi" w:cstheme="minorHAnsi"/>
          <w:sz w:val="22"/>
        </w:rPr>
        <w:t>,</w:t>
      </w:r>
      <w:r w:rsidRPr="00B667C4">
        <w:rPr>
          <w:rFonts w:asciiTheme="minorHAnsi" w:hAnsiTheme="minorHAnsi" w:cstheme="minorHAnsi"/>
          <w:sz w:val="22"/>
        </w:rPr>
        <w:t xml:space="preserve"> Unlocking Trade for Low-Income Countries: Report of the Trade Facilitation Facility, 2009-2015, Washington DC: The World Bank.</w:t>
      </w:r>
    </w:p>
    <w:p w14:paraId="1581F4F5" w14:textId="4995E5EA" w:rsidR="0050619C" w:rsidRPr="00B667C4" w:rsidRDefault="0050619C" w:rsidP="006D2639">
      <w:pPr>
        <w:ind w:left="720" w:hanging="720"/>
        <w:rPr>
          <w:rFonts w:asciiTheme="minorHAnsi" w:hAnsiTheme="minorHAnsi" w:cstheme="minorHAnsi"/>
          <w:sz w:val="22"/>
        </w:rPr>
      </w:pPr>
      <w:r w:rsidRPr="00B667C4">
        <w:rPr>
          <w:rFonts w:asciiTheme="minorHAnsi" w:hAnsiTheme="minorHAnsi" w:cstheme="minorHAnsi"/>
          <w:sz w:val="22"/>
        </w:rPr>
        <w:t>Njinkeu, D., Wilson, J., and Fosso, B. 2008</w:t>
      </w:r>
      <w:r w:rsidR="006F76F3" w:rsidRPr="00B667C4">
        <w:rPr>
          <w:rFonts w:asciiTheme="minorHAnsi" w:hAnsiTheme="minorHAnsi" w:cstheme="minorHAnsi"/>
          <w:sz w:val="22"/>
        </w:rPr>
        <w:t>.</w:t>
      </w:r>
      <w:r w:rsidRPr="00B667C4">
        <w:rPr>
          <w:rFonts w:asciiTheme="minorHAnsi" w:hAnsiTheme="minorHAnsi" w:cstheme="minorHAnsi"/>
          <w:sz w:val="22"/>
        </w:rPr>
        <w:t xml:space="preserve"> “Expanding Trade </w:t>
      </w:r>
      <w:r w:rsidR="004011D6" w:rsidRPr="00B667C4">
        <w:rPr>
          <w:rFonts w:asciiTheme="minorHAnsi" w:hAnsiTheme="minorHAnsi" w:cstheme="minorHAnsi"/>
          <w:sz w:val="22"/>
        </w:rPr>
        <w:t>w</w:t>
      </w:r>
      <w:r w:rsidRPr="00B667C4">
        <w:rPr>
          <w:rFonts w:asciiTheme="minorHAnsi" w:hAnsiTheme="minorHAnsi" w:cstheme="minorHAnsi"/>
          <w:sz w:val="22"/>
        </w:rPr>
        <w:t>ithin Africa: The Impact of Trade Facilitation</w:t>
      </w:r>
      <w:r w:rsidR="004011D6" w:rsidRPr="00B667C4">
        <w:rPr>
          <w:rFonts w:asciiTheme="minorHAnsi" w:hAnsiTheme="minorHAnsi" w:cstheme="minorHAnsi"/>
          <w:sz w:val="22"/>
        </w:rPr>
        <w:t>,</w:t>
      </w:r>
      <w:r w:rsidRPr="00B667C4">
        <w:rPr>
          <w:rFonts w:asciiTheme="minorHAnsi" w:hAnsiTheme="minorHAnsi" w:cstheme="minorHAnsi"/>
          <w:sz w:val="22"/>
        </w:rPr>
        <w:t>” Policy Research</w:t>
      </w:r>
      <w:r w:rsidR="00AD77C9" w:rsidRPr="00B667C4">
        <w:rPr>
          <w:rFonts w:asciiTheme="minorHAnsi" w:hAnsiTheme="minorHAnsi" w:cstheme="minorHAnsi"/>
          <w:sz w:val="22"/>
        </w:rPr>
        <w:t xml:space="preserve"> Working Paper 4790. Washington DC: The World Bank.</w:t>
      </w:r>
    </w:p>
    <w:p w14:paraId="12000770" w14:textId="244B34A8" w:rsidR="00111B7A" w:rsidRPr="00B667C4" w:rsidRDefault="004E2D20" w:rsidP="006B6963">
      <w:pPr>
        <w:ind w:left="720" w:hanging="720"/>
        <w:rPr>
          <w:rFonts w:asciiTheme="minorHAnsi" w:hAnsiTheme="minorHAnsi" w:cstheme="minorHAnsi"/>
          <w:sz w:val="22"/>
          <w:lang w:val="it-IT"/>
        </w:rPr>
      </w:pPr>
      <w:r w:rsidRPr="00B667C4">
        <w:rPr>
          <w:rFonts w:asciiTheme="minorHAnsi" w:hAnsiTheme="minorHAnsi" w:cstheme="minorHAnsi"/>
          <w:sz w:val="22"/>
        </w:rPr>
        <w:t xml:space="preserve">Nordås, H.K., 2011. </w:t>
      </w:r>
      <w:r w:rsidR="006B6963" w:rsidRPr="00B667C4">
        <w:rPr>
          <w:rFonts w:asciiTheme="minorHAnsi" w:hAnsiTheme="minorHAnsi" w:cstheme="minorHAnsi"/>
          <w:sz w:val="22"/>
        </w:rPr>
        <w:t>“</w:t>
      </w:r>
      <w:r w:rsidRPr="00B667C4">
        <w:rPr>
          <w:rFonts w:asciiTheme="minorHAnsi" w:hAnsiTheme="minorHAnsi" w:cstheme="minorHAnsi"/>
          <w:sz w:val="22"/>
        </w:rPr>
        <w:t>Opening the Markets for Business Services: Industrial Perspective for Developing Countries</w:t>
      </w:r>
      <w:r w:rsidR="006B6963" w:rsidRPr="00B667C4">
        <w:rPr>
          <w:rFonts w:asciiTheme="minorHAnsi" w:hAnsiTheme="minorHAnsi" w:cstheme="minorHAnsi"/>
          <w:sz w:val="22"/>
        </w:rPr>
        <w:t xml:space="preserve">,” </w:t>
      </w:r>
      <w:r w:rsidRPr="00B667C4">
        <w:rPr>
          <w:rFonts w:asciiTheme="minorHAnsi" w:hAnsiTheme="minorHAnsi" w:cstheme="minorHAnsi"/>
          <w:i/>
          <w:sz w:val="22"/>
          <w:lang w:val="it-IT"/>
        </w:rPr>
        <w:t>J</w:t>
      </w:r>
      <w:r w:rsidR="00800D37" w:rsidRPr="00B667C4">
        <w:rPr>
          <w:rFonts w:asciiTheme="minorHAnsi" w:hAnsiTheme="minorHAnsi" w:cstheme="minorHAnsi"/>
          <w:i/>
          <w:sz w:val="22"/>
          <w:lang w:val="it-IT"/>
        </w:rPr>
        <w:t xml:space="preserve">ournal of </w:t>
      </w:r>
      <w:r w:rsidRPr="00B667C4">
        <w:rPr>
          <w:rFonts w:asciiTheme="minorHAnsi" w:hAnsiTheme="minorHAnsi" w:cstheme="minorHAnsi"/>
          <w:i/>
          <w:sz w:val="22"/>
          <w:lang w:val="it-IT"/>
        </w:rPr>
        <w:t>Econ</w:t>
      </w:r>
      <w:r w:rsidR="00800D37" w:rsidRPr="00B667C4">
        <w:rPr>
          <w:rFonts w:asciiTheme="minorHAnsi" w:hAnsiTheme="minorHAnsi" w:cstheme="minorHAnsi"/>
          <w:i/>
          <w:sz w:val="22"/>
          <w:lang w:val="it-IT"/>
        </w:rPr>
        <w:t>omic</w:t>
      </w:r>
      <w:r w:rsidRPr="00B667C4">
        <w:rPr>
          <w:rFonts w:asciiTheme="minorHAnsi" w:hAnsiTheme="minorHAnsi" w:cstheme="minorHAnsi"/>
          <w:i/>
          <w:sz w:val="22"/>
          <w:lang w:val="it-IT"/>
        </w:rPr>
        <w:t xml:space="preserve"> Integr</w:t>
      </w:r>
      <w:r w:rsidR="00800D37" w:rsidRPr="00B667C4">
        <w:rPr>
          <w:rFonts w:asciiTheme="minorHAnsi" w:hAnsiTheme="minorHAnsi" w:cstheme="minorHAnsi"/>
          <w:i/>
          <w:sz w:val="22"/>
          <w:lang w:val="it-IT"/>
        </w:rPr>
        <w:t>ation</w:t>
      </w:r>
      <w:r w:rsidR="00800D37" w:rsidRPr="00B667C4">
        <w:rPr>
          <w:rFonts w:asciiTheme="minorHAnsi" w:hAnsiTheme="minorHAnsi" w:cstheme="minorHAnsi"/>
          <w:sz w:val="22"/>
          <w:lang w:val="it-IT"/>
        </w:rPr>
        <w:t>,</w:t>
      </w:r>
      <w:r w:rsidR="00111B7A" w:rsidRPr="00B667C4">
        <w:rPr>
          <w:rFonts w:asciiTheme="minorHAnsi" w:hAnsiTheme="minorHAnsi" w:cstheme="minorHAnsi"/>
          <w:sz w:val="22"/>
          <w:lang w:val="it-IT"/>
        </w:rPr>
        <w:t xml:space="preserve"> 26</w:t>
      </w:r>
      <w:r w:rsidR="00800D37" w:rsidRPr="00B667C4">
        <w:rPr>
          <w:rFonts w:asciiTheme="minorHAnsi" w:hAnsiTheme="minorHAnsi" w:cstheme="minorHAnsi"/>
          <w:sz w:val="22"/>
          <w:lang w:val="it-IT"/>
        </w:rPr>
        <w:t>:</w:t>
      </w:r>
      <w:r w:rsidR="00111B7A" w:rsidRPr="00B667C4">
        <w:rPr>
          <w:rFonts w:asciiTheme="minorHAnsi" w:hAnsiTheme="minorHAnsi" w:cstheme="minorHAnsi"/>
          <w:sz w:val="22"/>
          <w:lang w:val="it-IT"/>
        </w:rPr>
        <w:t xml:space="preserve"> 306–28.</w:t>
      </w:r>
    </w:p>
    <w:p w14:paraId="37D16BDE" w14:textId="77777777" w:rsidR="00111B7A"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OECD. 2012. </w:t>
      </w:r>
      <w:r w:rsidRPr="00B667C4">
        <w:rPr>
          <w:rFonts w:asciiTheme="minorHAnsi" w:hAnsiTheme="minorHAnsi" w:cstheme="minorHAnsi"/>
          <w:i/>
          <w:sz w:val="22"/>
        </w:rPr>
        <w:t>The Costs and Challenges of Trade Facilitation Measures</w:t>
      </w:r>
      <w:r w:rsidRPr="00B667C4">
        <w:rPr>
          <w:rFonts w:asciiTheme="minorHAnsi" w:hAnsiTheme="minorHAnsi" w:cstheme="minorHAnsi"/>
          <w:sz w:val="22"/>
        </w:rPr>
        <w:t xml:space="preserve">. Paris: OECD. </w:t>
      </w:r>
    </w:p>
    <w:p w14:paraId="4C0727C7" w14:textId="05860444" w:rsidR="00837E97" w:rsidRPr="00B667C4" w:rsidRDefault="00837E97" w:rsidP="006D2639">
      <w:pPr>
        <w:ind w:left="720" w:hanging="720"/>
        <w:rPr>
          <w:rFonts w:asciiTheme="minorHAnsi" w:hAnsiTheme="minorHAnsi" w:cstheme="minorHAnsi"/>
          <w:sz w:val="22"/>
        </w:rPr>
      </w:pPr>
      <w:r w:rsidRPr="00B667C4">
        <w:rPr>
          <w:rFonts w:asciiTheme="minorHAnsi" w:hAnsiTheme="minorHAnsi" w:cstheme="minorHAnsi"/>
          <w:sz w:val="22"/>
        </w:rPr>
        <w:t xml:space="preserve">Page, J. 2012, “Can Africa Industrialise?,” </w:t>
      </w:r>
      <w:r w:rsidR="00800D37" w:rsidRPr="00B667C4">
        <w:rPr>
          <w:rFonts w:asciiTheme="minorHAnsi" w:hAnsiTheme="minorHAnsi" w:cstheme="minorHAnsi"/>
          <w:i/>
          <w:sz w:val="22"/>
        </w:rPr>
        <w:t>Journal of African Economics</w:t>
      </w:r>
      <w:r w:rsidRPr="00B667C4">
        <w:rPr>
          <w:rFonts w:asciiTheme="minorHAnsi" w:hAnsiTheme="minorHAnsi" w:cstheme="minorHAnsi"/>
          <w:sz w:val="22"/>
        </w:rPr>
        <w:t>; 21 (suppl.2): ii86-ii124.</w:t>
      </w:r>
    </w:p>
    <w:p w14:paraId="3A1C9D22" w14:textId="77777777" w:rsidR="00111B7A"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Persson, M. 2013. "</w:t>
      </w:r>
      <w:hyperlink r:id="rId21" w:history="1">
        <w:r w:rsidRPr="00B667C4">
          <w:rPr>
            <w:rFonts w:asciiTheme="minorHAnsi" w:hAnsiTheme="minorHAnsi" w:cstheme="minorHAnsi"/>
            <w:sz w:val="22"/>
          </w:rPr>
          <w:t>Trade facilitation and the extensive margin</w:t>
        </w:r>
      </w:hyperlink>
      <w:r w:rsidRPr="00B667C4">
        <w:rPr>
          <w:rFonts w:asciiTheme="minorHAnsi" w:hAnsiTheme="minorHAnsi" w:cstheme="minorHAnsi"/>
          <w:sz w:val="22"/>
        </w:rPr>
        <w:t>," </w:t>
      </w:r>
      <w:hyperlink r:id="rId22" w:history="1">
        <w:r w:rsidRPr="00B667C4">
          <w:rPr>
            <w:rFonts w:asciiTheme="minorHAnsi" w:hAnsiTheme="minorHAnsi" w:cstheme="minorHAnsi"/>
            <w:i/>
            <w:sz w:val="22"/>
          </w:rPr>
          <w:t>Journal of International Trade &amp; Economic Development</w:t>
        </w:r>
      </w:hyperlink>
      <w:r w:rsidRPr="00B667C4">
        <w:rPr>
          <w:rFonts w:asciiTheme="minorHAnsi" w:hAnsiTheme="minorHAnsi" w:cstheme="minorHAnsi"/>
          <w:i/>
          <w:sz w:val="22"/>
        </w:rPr>
        <w:t>,</w:t>
      </w:r>
      <w:r w:rsidRPr="00B667C4">
        <w:rPr>
          <w:rFonts w:asciiTheme="minorHAnsi" w:hAnsiTheme="minorHAnsi" w:cstheme="minorHAnsi"/>
          <w:sz w:val="22"/>
        </w:rPr>
        <w:t xml:space="preserve"> 22(5): 658-93. </w:t>
      </w:r>
    </w:p>
    <w:p w14:paraId="76C50574" w14:textId="7A7C5A92" w:rsidR="00111B7A"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Pesce, O., S. Karingi and I. Gebretensaye, 2015, “Trade growth prospects: An African perspective,” in B. Hoekman (ed.), </w:t>
      </w:r>
      <w:r w:rsidRPr="00B667C4">
        <w:rPr>
          <w:rFonts w:asciiTheme="minorHAnsi" w:hAnsiTheme="minorHAnsi" w:cstheme="minorHAnsi"/>
          <w:i/>
          <w:sz w:val="22"/>
        </w:rPr>
        <w:t>The Global Trade Slowdown: A New Normal?</w:t>
      </w:r>
      <w:r w:rsidR="00111B7A" w:rsidRPr="00B667C4">
        <w:rPr>
          <w:rFonts w:asciiTheme="minorHAnsi" w:hAnsiTheme="minorHAnsi" w:cstheme="minorHAnsi"/>
          <w:sz w:val="22"/>
        </w:rPr>
        <w:t xml:space="preserve"> London: CEPR. </w:t>
      </w:r>
    </w:p>
    <w:p w14:paraId="1475961D" w14:textId="0FAB7CC4" w:rsidR="00552208"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lang w:val="en-US"/>
        </w:rPr>
        <w:t xml:space="preserve">Portugal-Perez, A. and J. Wilson, 2012. </w:t>
      </w:r>
      <w:r w:rsidRPr="00B667C4">
        <w:rPr>
          <w:rFonts w:asciiTheme="minorHAnsi" w:hAnsiTheme="minorHAnsi" w:cstheme="minorHAnsi"/>
          <w:sz w:val="22"/>
        </w:rPr>
        <w:t>"</w:t>
      </w:r>
      <w:hyperlink r:id="rId23" w:history="1">
        <w:r w:rsidRPr="00B667C4">
          <w:rPr>
            <w:rFonts w:asciiTheme="minorHAnsi" w:hAnsiTheme="minorHAnsi" w:cstheme="minorHAnsi"/>
            <w:sz w:val="22"/>
          </w:rPr>
          <w:t>Export Performance and Trade Facilitation Reform: Hard and Soft Infrastructure</w:t>
        </w:r>
      </w:hyperlink>
      <w:r w:rsidRPr="00B667C4">
        <w:rPr>
          <w:rFonts w:asciiTheme="minorHAnsi" w:hAnsiTheme="minorHAnsi" w:cstheme="minorHAnsi"/>
          <w:sz w:val="22"/>
        </w:rPr>
        <w:t xml:space="preserve">," </w:t>
      </w:r>
      <w:hyperlink r:id="rId24" w:history="1">
        <w:r w:rsidRPr="00B667C4">
          <w:rPr>
            <w:rFonts w:asciiTheme="minorHAnsi" w:hAnsiTheme="minorHAnsi" w:cstheme="minorHAnsi"/>
            <w:i/>
            <w:sz w:val="22"/>
          </w:rPr>
          <w:t>World Development</w:t>
        </w:r>
      </w:hyperlink>
      <w:r w:rsidRPr="00B667C4">
        <w:rPr>
          <w:rFonts w:asciiTheme="minorHAnsi" w:hAnsiTheme="minorHAnsi" w:cstheme="minorHAnsi"/>
          <w:sz w:val="22"/>
        </w:rPr>
        <w:t>, 40(7): 1295-1307.</w:t>
      </w:r>
    </w:p>
    <w:p w14:paraId="366D5652" w14:textId="2E175E55" w:rsidR="00552208" w:rsidRPr="00B667C4" w:rsidRDefault="00552208" w:rsidP="006D2639">
      <w:pPr>
        <w:ind w:left="720" w:hanging="720"/>
        <w:rPr>
          <w:rFonts w:asciiTheme="minorHAnsi" w:hAnsiTheme="minorHAnsi" w:cstheme="minorHAnsi"/>
          <w:sz w:val="22"/>
        </w:rPr>
      </w:pPr>
      <w:r w:rsidRPr="00B667C4">
        <w:rPr>
          <w:rFonts w:asciiTheme="minorHAnsi" w:hAnsiTheme="minorHAnsi" w:cstheme="minorHAnsi"/>
          <w:sz w:val="22"/>
          <w:lang w:val="en-US"/>
        </w:rPr>
        <w:t xml:space="preserve">Rajan, R. and L. Zingales, 1998, “Financial Dependence and Growth,” </w:t>
      </w:r>
      <w:r w:rsidRPr="00B667C4">
        <w:rPr>
          <w:rFonts w:asciiTheme="minorHAnsi" w:hAnsiTheme="minorHAnsi" w:cstheme="minorHAnsi"/>
          <w:i/>
          <w:sz w:val="22"/>
          <w:lang w:val="en-US"/>
        </w:rPr>
        <w:t>American Economic Review</w:t>
      </w:r>
      <w:r w:rsidRPr="00B667C4">
        <w:rPr>
          <w:rFonts w:asciiTheme="minorHAnsi" w:hAnsiTheme="minorHAnsi" w:cstheme="minorHAnsi"/>
          <w:sz w:val="22"/>
          <w:lang w:val="en-US"/>
        </w:rPr>
        <w:t>, 88 (3): 559-86.</w:t>
      </w:r>
    </w:p>
    <w:p w14:paraId="25813749" w14:textId="77777777" w:rsidR="00111B7A"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color w:val="000000"/>
          <w:sz w:val="22"/>
          <w:lang w:val="de-DE"/>
        </w:rPr>
        <w:t xml:space="preserve">Saez, S., D. Taglioni, E. van der Marel, C. Hollweg and V. Zavacka, 2015. </w:t>
      </w:r>
      <w:r w:rsidRPr="00B667C4">
        <w:rPr>
          <w:rFonts w:asciiTheme="minorHAnsi" w:hAnsiTheme="minorHAnsi" w:cstheme="minorHAnsi"/>
          <w:color w:val="000000"/>
          <w:sz w:val="22"/>
        </w:rPr>
        <w:t>Valuing services in trade: a toolkit for competitiveness diagnostics</w:t>
      </w:r>
      <w:r w:rsidR="00111B7A" w:rsidRPr="00B667C4">
        <w:rPr>
          <w:rFonts w:asciiTheme="minorHAnsi" w:hAnsiTheme="minorHAnsi" w:cstheme="minorHAnsi"/>
          <w:color w:val="000000"/>
          <w:sz w:val="22"/>
        </w:rPr>
        <w:t>. Washington, DC: World Bank.</w:t>
      </w:r>
    </w:p>
    <w:p w14:paraId="356F1D8F" w14:textId="5745511F" w:rsidR="003F2595"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Saslavsky, D., and B. Shepherd. 2014. “Facilitating International Production Networks: The Role of Trade Logistics,” </w:t>
      </w:r>
      <w:r w:rsidRPr="00B667C4">
        <w:rPr>
          <w:rFonts w:asciiTheme="minorHAnsi" w:hAnsiTheme="minorHAnsi" w:cstheme="minorHAnsi"/>
          <w:i/>
          <w:sz w:val="22"/>
        </w:rPr>
        <w:t>Journal of International Trade &amp; Economic Development</w:t>
      </w:r>
      <w:r w:rsidRPr="00B667C4">
        <w:rPr>
          <w:rFonts w:asciiTheme="minorHAnsi" w:hAnsiTheme="minorHAnsi" w:cstheme="minorHAnsi"/>
          <w:sz w:val="22"/>
        </w:rPr>
        <w:t xml:space="preserve"> 23(7): 979-99.</w:t>
      </w:r>
    </w:p>
    <w:p w14:paraId="52B728B6" w14:textId="06617B32" w:rsidR="00325072" w:rsidRPr="00B667C4" w:rsidRDefault="004E2D20" w:rsidP="006D2639">
      <w:pPr>
        <w:ind w:left="720" w:hanging="720"/>
        <w:rPr>
          <w:rFonts w:asciiTheme="minorHAnsi" w:hAnsiTheme="minorHAnsi" w:cstheme="minorHAnsi"/>
          <w:sz w:val="22"/>
        </w:rPr>
      </w:pPr>
      <w:r w:rsidRPr="00B667C4">
        <w:rPr>
          <w:rFonts w:asciiTheme="minorHAnsi" w:hAnsiTheme="minorHAnsi" w:cstheme="minorHAnsi"/>
          <w:sz w:val="22"/>
        </w:rPr>
        <w:t xml:space="preserve">Spence, M. and S. Karingi. 2011. “Impact of Trade Facilitation Mechanisms on Export Competitiveness in Africa,” ATPC </w:t>
      </w:r>
      <w:r w:rsidR="00FB0508" w:rsidRPr="00B667C4">
        <w:rPr>
          <w:rFonts w:asciiTheme="minorHAnsi" w:hAnsiTheme="minorHAnsi" w:cstheme="minorHAnsi"/>
          <w:sz w:val="22"/>
        </w:rPr>
        <w:t>W</w:t>
      </w:r>
      <w:r w:rsidRPr="00B667C4">
        <w:rPr>
          <w:rFonts w:asciiTheme="minorHAnsi" w:hAnsiTheme="minorHAnsi" w:cstheme="minorHAnsi"/>
          <w:sz w:val="22"/>
        </w:rPr>
        <w:t xml:space="preserve">orking </w:t>
      </w:r>
      <w:r w:rsidR="00FB0508" w:rsidRPr="00B667C4">
        <w:rPr>
          <w:rFonts w:asciiTheme="minorHAnsi" w:hAnsiTheme="minorHAnsi" w:cstheme="minorHAnsi"/>
          <w:sz w:val="22"/>
        </w:rPr>
        <w:t>P</w:t>
      </w:r>
      <w:r w:rsidRPr="00B667C4">
        <w:rPr>
          <w:rFonts w:asciiTheme="minorHAnsi" w:hAnsiTheme="minorHAnsi" w:cstheme="minorHAnsi"/>
          <w:sz w:val="22"/>
        </w:rPr>
        <w:t>aper 85.</w:t>
      </w:r>
    </w:p>
    <w:p w14:paraId="46D0E7AE" w14:textId="45423E36" w:rsidR="00325072" w:rsidRPr="00B667C4" w:rsidRDefault="00260E90" w:rsidP="00260E90">
      <w:pPr>
        <w:ind w:left="720" w:hanging="720"/>
        <w:rPr>
          <w:rFonts w:asciiTheme="minorHAnsi" w:hAnsiTheme="minorHAnsi" w:cstheme="minorHAnsi"/>
          <w:sz w:val="22"/>
        </w:rPr>
      </w:pPr>
      <w:r w:rsidRPr="00B667C4">
        <w:rPr>
          <w:rFonts w:asciiTheme="minorHAnsi" w:hAnsiTheme="minorHAnsi" w:cstheme="minorHAnsi"/>
          <w:sz w:val="22"/>
        </w:rPr>
        <w:t xml:space="preserve">Storeygard, A. </w:t>
      </w:r>
      <w:r w:rsidR="00325072" w:rsidRPr="00B667C4">
        <w:rPr>
          <w:rFonts w:asciiTheme="minorHAnsi" w:hAnsiTheme="minorHAnsi" w:cstheme="minorHAnsi"/>
          <w:sz w:val="22"/>
        </w:rPr>
        <w:t xml:space="preserve">2016. </w:t>
      </w:r>
      <w:r w:rsidR="00800D37" w:rsidRPr="00B667C4">
        <w:rPr>
          <w:rFonts w:asciiTheme="minorHAnsi" w:hAnsiTheme="minorHAnsi" w:cstheme="minorHAnsi"/>
          <w:sz w:val="22"/>
        </w:rPr>
        <w:t>“</w:t>
      </w:r>
      <w:r w:rsidR="00325072" w:rsidRPr="00B667C4">
        <w:rPr>
          <w:rFonts w:asciiTheme="minorHAnsi" w:hAnsiTheme="minorHAnsi" w:cstheme="minorHAnsi"/>
          <w:sz w:val="22"/>
        </w:rPr>
        <w:t>Farther on down the Road: Transport Costs, Trade and Urban Growth in Sub-Saharan Africa</w:t>
      </w:r>
      <w:r w:rsidR="00800D37" w:rsidRPr="00B667C4">
        <w:rPr>
          <w:rFonts w:asciiTheme="minorHAnsi" w:hAnsiTheme="minorHAnsi" w:cstheme="minorHAnsi"/>
          <w:sz w:val="22"/>
        </w:rPr>
        <w:t xml:space="preserve">,” </w:t>
      </w:r>
      <w:r w:rsidR="00325072" w:rsidRPr="00B667C4">
        <w:rPr>
          <w:rFonts w:asciiTheme="minorHAnsi" w:hAnsiTheme="minorHAnsi" w:cstheme="minorHAnsi"/>
          <w:i/>
          <w:sz w:val="22"/>
        </w:rPr>
        <w:t>Review of Economic Studies</w:t>
      </w:r>
      <w:r w:rsidR="00325072" w:rsidRPr="00B667C4">
        <w:rPr>
          <w:rFonts w:asciiTheme="minorHAnsi" w:hAnsiTheme="minorHAnsi" w:cstheme="minorHAnsi"/>
          <w:sz w:val="22"/>
        </w:rPr>
        <w:t xml:space="preserve"> 83: 1263–95.</w:t>
      </w:r>
    </w:p>
    <w:p w14:paraId="7208742B" w14:textId="18860EF5" w:rsidR="004E7390" w:rsidRPr="00B667C4" w:rsidRDefault="004E7390" w:rsidP="006D2639">
      <w:pPr>
        <w:ind w:left="720" w:hanging="720"/>
        <w:rPr>
          <w:rFonts w:asciiTheme="minorHAnsi" w:hAnsiTheme="minorHAnsi" w:cstheme="minorHAnsi"/>
          <w:sz w:val="22"/>
        </w:rPr>
      </w:pPr>
      <w:r w:rsidRPr="00B667C4">
        <w:rPr>
          <w:rFonts w:asciiTheme="minorHAnsi" w:hAnsiTheme="minorHAnsi" w:cstheme="minorHAnsi"/>
          <w:sz w:val="22"/>
        </w:rPr>
        <w:t>Tanase, V.</w:t>
      </w:r>
      <w:r w:rsidR="006D0A7D" w:rsidRPr="00B667C4">
        <w:rPr>
          <w:rFonts w:asciiTheme="minorHAnsi" w:hAnsiTheme="minorHAnsi" w:cstheme="minorHAnsi"/>
          <w:sz w:val="22"/>
        </w:rPr>
        <w:t>,</w:t>
      </w:r>
      <w:r w:rsidRPr="00B667C4">
        <w:rPr>
          <w:rFonts w:asciiTheme="minorHAnsi" w:hAnsiTheme="minorHAnsi" w:cstheme="minorHAnsi"/>
          <w:sz w:val="22"/>
        </w:rPr>
        <w:t xml:space="preserve"> </w:t>
      </w:r>
      <w:r w:rsidR="006D0A7D" w:rsidRPr="00B667C4">
        <w:rPr>
          <w:rFonts w:asciiTheme="minorHAnsi" w:hAnsiTheme="minorHAnsi" w:cstheme="minorHAnsi"/>
          <w:sz w:val="22"/>
        </w:rPr>
        <w:t xml:space="preserve">C. </w:t>
      </w:r>
      <w:r w:rsidRPr="00B667C4">
        <w:rPr>
          <w:rFonts w:asciiTheme="minorHAnsi" w:hAnsiTheme="minorHAnsi" w:cstheme="minorHAnsi"/>
          <w:sz w:val="22"/>
        </w:rPr>
        <w:t xml:space="preserve">Kunaka, </w:t>
      </w:r>
      <w:r w:rsidR="006D0A7D" w:rsidRPr="00B667C4">
        <w:rPr>
          <w:rFonts w:asciiTheme="minorHAnsi" w:hAnsiTheme="minorHAnsi" w:cstheme="minorHAnsi"/>
          <w:sz w:val="22"/>
        </w:rPr>
        <w:t xml:space="preserve">N. </w:t>
      </w:r>
      <w:r w:rsidRPr="00B667C4">
        <w:rPr>
          <w:rFonts w:asciiTheme="minorHAnsi" w:hAnsiTheme="minorHAnsi" w:cstheme="minorHAnsi"/>
          <w:sz w:val="22"/>
        </w:rPr>
        <w:t xml:space="preserve">Paustian and </w:t>
      </w:r>
      <w:r w:rsidR="006D0A7D" w:rsidRPr="00B667C4">
        <w:rPr>
          <w:rFonts w:asciiTheme="minorHAnsi" w:hAnsiTheme="minorHAnsi" w:cstheme="minorHAnsi"/>
          <w:sz w:val="22"/>
        </w:rPr>
        <w:t xml:space="preserve">P. </w:t>
      </w:r>
      <w:r w:rsidRPr="00B667C4">
        <w:rPr>
          <w:rFonts w:asciiTheme="minorHAnsi" w:hAnsiTheme="minorHAnsi" w:cstheme="minorHAnsi"/>
          <w:sz w:val="22"/>
        </w:rPr>
        <w:t>Philipp</w:t>
      </w:r>
      <w:r w:rsidR="006D0A7D" w:rsidRPr="00B667C4">
        <w:rPr>
          <w:rFonts w:asciiTheme="minorHAnsi" w:hAnsiTheme="minorHAnsi" w:cstheme="minorHAnsi"/>
          <w:sz w:val="22"/>
        </w:rPr>
        <w:t>,</w:t>
      </w:r>
      <w:r w:rsidRPr="00B667C4">
        <w:rPr>
          <w:rFonts w:asciiTheme="minorHAnsi" w:hAnsiTheme="minorHAnsi" w:cstheme="minorHAnsi"/>
          <w:sz w:val="22"/>
        </w:rPr>
        <w:t xml:space="preserve"> 2016</w:t>
      </w:r>
      <w:r w:rsidR="006D0A7D" w:rsidRPr="00B667C4">
        <w:rPr>
          <w:rFonts w:asciiTheme="minorHAnsi" w:hAnsiTheme="minorHAnsi" w:cstheme="minorHAnsi"/>
          <w:sz w:val="22"/>
        </w:rPr>
        <w:t>,</w:t>
      </w:r>
      <w:r w:rsidRPr="00B667C4">
        <w:rPr>
          <w:rFonts w:asciiTheme="minorHAnsi" w:hAnsiTheme="minorHAnsi" w:cstheme="minorHAnsi"/>
          <w:sz w:val="22"/>
        </w:rPr>
        <w:t xml:space="preserve"> “Road Transport Services Reform: A Guide for Practitioners and Policy Makers,</w:t>
      </w:r>
      <w:r w:rsidR="006D0A7D" w:rsidRPr="00B667C4">
        <w:rPr>
          <w:rFonts w:asciiTheme="minorHAnsi" w:hAnsiTheme="minorHAnsi" w:cstheme="minorHAnsi"/>
          <w:sz w:val="22"/>
        </w:rPr>
        <w:t>”</w:t>
      </w:r>
      <w:r w:rsidRPr="00B667C4">
        <w:rPr>
          <w:rFonts w:asciiTheme="minorHAnsi" w:hAnsiTheme="minorHAnsi" w:cstheme="minorHAnsi"/>
          <w:sz w:val="22"/>
        </w:rPr>
        <w:t xml:space="preserve"> World</w:t>
      </w:r>
      <w:r w:rsidR="00011851" w:rsidRPr="00B667C4">
        <w:rPr>
          <w:rFonts w:asciiTheme="minorHAnsi" w:hAnsiTheme="minorHAnsi" w:cstheme="minorHAnsi"/>
          <w:sz w:val="22"/>
        </w:rPr>
        <w:t xml:space="preserve"> </w:t>
      </w:r>
      <w:r w:rsidRPr="00B667C4">
        <w:rPr>
          <w:rFonts w:asciiTheme="minorHAnsi" w:hAnsiTheme="minorHAnsi" w:cstheme="minorHAnsi"/>
          <w:sz w:val="22"/>
        </w:rPr>
        <w:t>Bank and Internation</w:t>
      </w:r>
      <w:r w:rsidR="00011851" w:rsidRPr="00B667C4">
        <w:rPr>
          <w:rFonts w:asciiTheme="minorHAnsi" w:hAnsiTheme="minorHAnsi" w:cstheme="minorHAnsi"/>
          <w:sz w:val="22"/>
        </w:rPr>
        <w:t>al</w:t>
      </w:r>
      <w:r w:rsidRPr="00B667C4">
        <w:rPr>
          <w:rFonts w:asciiTheme="minorHAnsi" w:hAnsiTheme="minorHAnsi" w:cstheme="minorHAnsi"/>
          <w:sz w:val="22"/>
        </w:rPr>
        <w:t xml:space="preserve"> Road Union Toolkit (February</w:t>
      </w:r>
      <w:r w:rsidR="006D0A7D" w:rsidRPr="00B667C4">
        <w:rPr>
          <w:rFonts w:asciiTheme="minorHAnsi" w:hAnsiTheme="minorHAnsi" w:cstheme="minorHAnsi"/>
          <w:sz w:val="22"/>
        </w:rPr>
        <w:t>).</w:t>
      </w:r>
      <w:r w:rsidRPr="00B667C4">
        <w:rPr>
          <w:rFonts w:asciiTheme="minorHAnsi" w:hAnsiTheme="minorHAnsi" w:cstheme="minorHAnsi"/>
          <w:sz w:val="22"/>
        </w:rPr>
        <w:t xml:space="preserve"> </w:t>
      </w:r>
    </w:p>
    <w:p w14:paraId="3111EDD0" w14:textId="77777777" w:rsidR="004E2D20" w:rsidRPr="00B667C4" w:rsidRDefault="004E2D20" w:rsidP="006D2639">
      <w:pPr>
        <w:ind w:left="720" w:hanging="720"/>
        <w:rPr>
          <w:rFonts w:asciiTheme="minorHAnsi" w:hAnsiTheme="minorHAnsi" w:cstheme="minorHAnsi"/>
          <w:color w:val="000000"/>
          <w:sz w:val="22"/>
        </w:rPr>
      </w:pPr>
      <w:r w:rsidRPr="00B667C4">
        <w:rPr>
          <w:rFonts w:asciiTheme="minorHAnsi" w:hAnsiTheme="minorHAnsi" w:cstheme="minorHAnsi"/>
          <w:sz w:val="22"/>
        </w:rPr>
        <w:t>UNECA. 2013. Making the Most of Africa’s Commodities: Industrializing for Growth, Jobs and Economic Transformation. Addis Ababa: Economic Commission for Africa.</w:t>
      </w:r>
    </w:p>
    <w:p w14:paraId="3AD34026" w14:textId="0764CC7A" w:rsidR="00BF0C69" w:rsidRPr="00B667C4" w:rsidRDefault="00BF0C69" w:rsidP="006D2639">
      <w:pPr>
        <w:ind w:left="720" w:hanging="720"/>
        <w:rPr>
          <w:rFonts w:asciiTheme="minorHAnsi" w:hAnsiTheme="minorHAnsi" w:cstheme="minorHAnsi"/>
          <w:color w:val="000000"/>
          <w:sz w:val="22"/>
        </w:rPr>
      </w:pPr>
      <w:r w:rsidRPr="00B667C4">
        <w:rPr>
          <w:rFonts w:asciiTheme="minorHAnsi" w:hAnsiTheme="minorHAnsi" w:cstheme="minorHAnsi"/>
          <w:sz w:val="22"/>
        </w:rPr>
        <w:t xml:space="preserve">UNECA, 2016, </w:t>
      </w:r>
      <w:r w:rsidRPr="00B667C4">
        <w:rPr>
          <w:rFonts w:asciiTheme="minorHAnsi" w:hAnsiTheme="minorHAnsi" w:cstheme="minorHAnsi"/>
          <w:bCs/>
          <w:sz w:val="22"/>
        </w:rPr>
        <w:t>Africa Regional Forum on Sustainable Development, Cairo 17-19 May.</w:t>
      </w:r>
    </w:p>
    <w:p w14:paraId="4D2886B9" w14:textId="77777777" w:rsidR="001D4337" w:rsidRDefault="004E2D20" w:rsidP="001D4337">
      <w:pPr>
        <w:autoSpaceDE w:val="0"/>
        <w:autoSpaceDN w:val="0"/>
        <w:adjustRightInd w:val="0"/>
        <w:ind w:left="720" w:hanging="720"/>
        <w:rPr>
          <w:rFonts w:asciiTheme="minorHAnsi" w:hAnsiTheme="minorHAnsi" w:cstheme="minorHAnsi"/>
          <w:color w:val="000000"/>
          <w:sz w:val="22"/>
          <w:lang w:val="en-US"/>
        </w:rPr>
      </w:pPr>
      <w:r w:rsidRPr="00B667C4">
        <w:rPr>
          <w:rFonts w:asciiTheme="minorHAnsi" w:hAnsiTheme="minorHAnsi" w:cstheme="minorHAnsi"/>
          <w:color w:val="000000"/>
          <w:sz w:val="22"/>
          <w:lang w:val="en-US"/>
        </w:rPr>
        <w:t xml:space="preserve">World </w:t>
      </w:r>
      <w:r w:rsidRPr="00B667C4">
        <w:rPr>
          <w:rFonts w:asciiTheme="minorHAnsi" w:hAnsiTheme="minorHAnsi" w:cstheme="minorHAnsi"/>
          <w:color w:val="000000"/>
          <w:sz w:val="22"/>
        </w:rPr>
        <w:t>Bank</w:t>
      </w:r>
      <w:r w:rsidRPr="00B667C4">
        <w:rPr>
          <w:rFonts w:asciiTheme="minorHAnsi" w:hAnsiTheme="minorHAnsi" w:cstheme="minorHAnsi"/>
          <w:color w:val="000000"/>
          <w:sz w:val="22"/>
          <w:lang w:val="en-US"/>
        </w:rPr>
        <w:t xml:space="preserve">. 2014. </w:t>
      </w:r>
      <w:r w:rsidRPr="00B667C4">
        <w:rPr>
          <w:rFonts w:asciiTheme="minorHAnsi" w:hAnsiTheme="minorHAnsi" w:cstheme="minorHAnsi"/>
          <w:i/>
          <w:color w:val="000000"/>
          <w:sz w:val="22"/>
          <w:lang w:val="en-US"/>
        </w:rPr>
        <w:t>Connecting to Compete, 2014: Trade Logistics in the Global Economy</w:t>
      </w:r>
      <w:r w:rsidRPr="00B667C4">
        <w:rPr>
          <w:rFonts w:asciiTheme="minorHAnsi" w:hAnsiTheme="minorHAnsi" w:cstheme="minorHAnsi"/>
          <w:color w:val="000000"/>
          <w:sz w:val="22"/>
          <w:lang w:val="en-US"/>
        </w:rPr>
        <w:t xml:space="preserve">. Washington DC: World Bank. </w:t>
      </w:r>
    </w:p>
    <w:p w14:paraId="04F9E7FE" w14:textId="2DFAF3B4" w:rsidR="001D4337" w:rsidRPr="001D4337" w:rsidRDefault="001D4337" w:rsidP="001D4337">
      <w:pPr>
        <w:autoSpaceDE w:val="0"/>
        <w:autoSpaceDN w:val="0"/>
        <w:adjustRightInd w:val="0"/>
        <w:ind w:left="720" w:hanging="720"/>
        <w:rPr>
          <w:rFonts w:asciiTheme="minorHAnsi" w:hAnsiTheme="minorHAnsi" w:cstheme="minorHAnsi"/>
          <w:sz w:val="22"/>
        </w:rPr>
      </w:pPr>
      <w:r w:rsidRPr="001D4337">
        <w:rPr>
          <w:rFonts w:asciiTheme="minorHAnsi" w:hAnsiTheme="minorHAnsi" w:cstheme="minorHAnsi"/>
          <w:sz w:val="22"/>
        </w:rPr>
        <w:t>World Bank and East African Community Secretariat. 201</w:t>
      </w:r>
      <w:r>
        <w:rPr>
          <w:rFonts w:asciiTheme="minorHAnsi" w:hAnsiTheme="minorHAnsi" w:cstheme="minorHAnsi"/>
          <w:sz w:val="22"/>
        </w:rPr>
        <w:t>6</w:t>
      </w:r>
      <w:r w:rsidRPr="001D4337">
        <w:rPr>
          <w:rFonts w:asciiTheme="minorHAnsi" w:hAnsiTheme="minorHAnsi" w:cstheme="minorHAnsi"/>
          <w:sz w:val="22"/>
        </w:rPr>
        <w:t xml:space="preserve">. </w:t>
      </w:r>
      <w:r w:rsidRPr="001D4337">
        <w:rPr>
          <w:rFonts w:asciiTheme="minorHAnsi" w:hAnsiTheme="minorHAnsi" w:cstheme="minorHAnsi"/>
          <w:i/>
          <w:sz w:val="22"/>
        </w:rPr>
        <w:t>EAC Common Market Scorecard 2016: Tracking EAC Compliance in Movement of Capital Services and Goods</w:t>
      </w:r>
      <w:r w:rsidRPr="001D4337">
        <w:rPr>
          <w:rFonts w:asciiTheme="minorHAnsi" w:hAnsiTheme="minorHAnsi" w:cstheme="minorHAnsi"/>
          <w:sz w:val="22"/>
        </w:rPr>
        <w:t>.</w:t>
      </w:r>
      <w:r>
        <w:rPr>
          <w:rFonts w:asciiTheme="minorHAnsi" w:hAnsiTheme="minorHAnsi" w:cstheme="minorHAnsi"/>
          <w:sz w:val="22"/>
        </w:rPr>
        <w:t xml:space="preserve"> Arusha and Washington DC: EAC Secretariat and World Bank Group.</w:t>
      </w:r>
    </w:p>
    <w:p w14:paraId="6FE0164F" w14:textId="77777777" w:rsidR="00111B7A" w:rsidRPr="00B667C4" w:rsidRDefault="004E2D20" w:rsidP="006D2639">
      <w:pPr>
        <w:autoSpaceDE w:val="0"/>
        <w:autoSpaceDN w:val="0"/>
        <w:adjustRightInd w:val="0"/>
        <w:ind w:left="720" w:hanging="720"/>
        <w:rPr>
          <w:rFonts w:asciiTheme="minorHAnsi" w:hAnsiTheme="minorHAnsi" w:cstheme="minorHAnsi"/>
          <w:sz w:val="22"/>
        </w:rPr>
      </w:pPr>
      <w:r w:rsidRPr="00B667C4">
        <w:rPr>
          <w:rFonts w:asciiTheme="minorHAnsi" w:hAnsiTheme="minorHAnsi" w:cstheme="minorHAnsi"/>
          <w:sz w:val="22"/>
        </w:rPr>
        <w:t xml:space="preserve">WTO. </w:t>
      </w:r>
      <w:r w:rsidRPr="00B667C4">
        <w:rPr>
          <w:rStyle w:val="Hyperlink"/>
          <w:rFonts w:asciiTheme="minorHAnsi" w:eastAsia="MS Mincho" w:hAnsiTheme="minorHAnsi" w:cstheme="minorHAnsi"/>
          <w:color w:val="000000" w:themeColor="text1"/>
          <w:sz w:val="22"/>
          <w:u w:val="none"/>
        </w:rPr>
        <w:t xml:space="preserve">2015. </w:t>
      </w:r>
      <w:r w:rsidRPr="00B667C4">
        <w:rPr>
          <w:rStyle w:val="Hyperlink"/>
          <w:rFonts w:asciiTheme="minorHAnsi" w:eastAsia="MS Mincho" w:hAnsiTheme="minorHAnsi" w:cstheme="minorHAnsi"/>
          <w:i/>
          <w:color w:val="000000" w:themeColor="text1"/>
          <w:sz w:val="22"/>
          <w:u w:val="none"/>
        </w:rPr>
        <w:t>World Trade Report 2015: S</w:t>
      </w:r>
      <w:hyperlink r:id="rId25" w:history="1">
        <w:r w:rsidRPr="00B667C4">
          <w:rPr>
            <w:rStyle w:val="Hyperlink"/>
            <w:rFonts w:asciiTheme="minorHAnsi" w:eastAsia="MS Mincho" w:hAnsiTheme="minorHAnsi" w:cstheme="minorHAnsi"/>
            <w:i/>
            <w:color w:val="000000" w:themeColor="text1"/>
            <w:sz w:val="22"/>
            <w:u w:val="none"/>
          </w:rPr>
          <w:t>peeding up trade: benefits and challenges of implementing the WTO Trade Facilitation Agreement</w:t>
        </w:r>
      </w:hyperlink>
      <w:r w:rsidRPr="00B667C4">
        <w:rPr>
          <w:rFonts w:asciiTheme="minorHAnsi" w:hAnsiTheme="minorHAnsi" w:cstheme="minorHAnsi"/>
          <w:sz w:val="22"/>
        </w:rPr>
        <w:t>. Geneva: WTO.</w:t>
      </w:r>
    </w:p>
    <w:p w14:paraId="3DF5CE63" w14:textId="1ACC8A83" w:rsidR="00D50537" w:rsidRPr="00B667C4" w:rsidRDefault="00D50537" w:rsidP="006D2639">
      <w:pPr>
        <w:autoSpaceDE w:val="0"/>
        <w:autoSpaceDN w:val="0"/>
        <w:adjustRightInd w:val="0"/>
        <w:ind w:left="720" w:hanging="720"/>
        <w:rPr>
          <w:rFonts w:asciiTheme="minorHAnsi" w:hAnsiTheme="minorHAnsi" w:cstheme="minorHAnsi"/>
          <w:sz w:val="22"/>
        </w:rPr>
      </w:pPr>
      <w:r w:rsidRPr="00B667C4">
        <w:rPr>
          <w:rFonts w:asciiTheme="minorHAnsi" w:hAnsiTheme="minorHAnsi" w:cstheme="minorHAnsi"/>
          <w:sz w:val="22"/>
        </w:rPr>
        <w:t xml:space="preserve">WTO. 2016. </w:t>
      </w:r>
      <w:r w:rsidRPr="00B667C4">
        <w:rPr>
          <w:rFonts w:asciiTheme="minorHAnsi" w:hAnsiTheme="minorHAnsi" w:cstheme="minorHAnsi"/>
          <w:i/>
          <w:iCs/>
          <w:sz w:val="22"/>
        </w:rPr>
        <w:t xml:space="preserve">World Trade Statistical Review. </w:t>
      </w:r>
      <w:r w:rsidRPr="00B667C4">
        <w:rPr>
          <w:rFonts w:asciiTheme="minorHAnsi" w:hAnsiTheme="minorHAnsi" w:cstheme="minorHAnsi"/>
          <w:sz w:val="22"/>
        </w:rPr>
        <w:t>Geneva: WTO.</w:t>
      </w:r>
    </w:p>
    <w:p w14:paraId="53B578D6" w14:textId="33EA7FD6" w:rsidR="00C55FAC" w:rsidRPr="00B667C4" w:rsidRDefault="004E2D20" w:rsidP="006D2639">
      <w:pPr>
        <w:autoSpaceDE w:val="0"/>
        <w:autoSpaceDN w:val="0"/>
        <w:adjustRightInd w:val="0"/>
        <w:ind w:left="720" w:hanging="720"/>
        <w:rPr>
          <w:rFonts w:asciiTheme="minorHAnsi" w:hAnsiTheme="minorHAnsi" w:cstheme="minorHAnsi"/>
          <w:sz w:val="22"/>
        </w:rPr>
      </w:pPr>
      <w:r w:rsidRPr="00B667C4">
        <w:rPr>
          <w:rFonts w:asciiTheme="minorHAnsi" w:hAnsiTheme="minorHAnsi" w:cstheme="minorHAnsi"/>
          <w:sz w:val="22"/>
        </w:rPr>
        <w:t xml:space="preserve">Zaki, C. 2015. “How Does Trade Facilitation Affect International Trade?” </w:t>
      </w:r>
      <w:r w:rsidRPr="00B667C4">
        <w:rPr>
          <w:rFonts w:asciiTheme="minorHAnsi" w:hAnsiTheme="minorHAnsi" w:cstheme="minorHAnsi"/>
          <w:i/>
          <w:sz w:val="22"/>
        </w:rPr>
        <w:t>European Journal of Development Research</w:t>
      </w:r>
      <w:r w:rsidRPr="00B667C4">
        <w:rPr>
          <w:rFonts w:asciiTheme="minorHAnsi" w:hAnsiTheme="minorHAnsi" w:cstheme="minorHAnsi"/>
          <w:sz w:val="22"/>
        </w:rPr>
        <w:t>, 27(1): 156-85.</w:t>
      </w:r>
    </w:p>
    <w:p w14:paraId="366CA6FF" w14:textId="77777777" w:rsidR="00EE0738" w:rsidRPr="00B667C4" w:rsidRDefault="00EE0738" w:rsidP="003163C6">
      <w:pPr>
        <w:autoSpaceDE w:val="0"/>
        <w:autoSpaceDN w:val="0"/>
        <w:adjustRightInd w:val="0"/>
        <w:spacing w:after="120" w:line="276" w:lineRule="auto"/>
        <w:ind w:left="720" w:hanging="720"/>
        <w:rPr>
          <w:rFonts w:asciiTheme="minorHAnsi" w:hAnsiTheme="minorHAnsi" w:cstheme="minorHAnsi"/>
          <w:color w:val="000000"/>
          <w:sz w:val="22"/>
          <w:lang w:val="en-US"/>
        </w:rPr>
        <w:sectPr w:rsidR="00EE0738" w:rsidRPr="00B667C4" w:rsidSect="005D20D3">
          <w:pgSz w:w="12240" w:h="15840" w:code="1"/>
          <w:pgMar w:top="1440" w:right="1440" w:bottom="1440" w:left="1440" w:header="709" w:footer="709" w:gutter="0"/>
          <w:pgNumType w:start="1"/>
          <w:cols w:space="708"/>
          <w:titlePg/>
          <w:docGrid w:linePitch="360"/>
        </w:sectPr>
      </w:pPr>
    </w:p>
    <w:p w14:paraId="14593542" w14:textId="34A04257" w:rsidR="00EE0738" w:rsidRPr="00B667C4" w:rsidRDefault="00EE0738" w:rsidP="003163C6">
      <w:pPr>
        <w:autoSpaceDE w:val="0"/>
        <w:autoSpaceDN w:val="0"/>
        <w:adjustRightInd w:val="0"/>
        <w:spacing w:after="120" w:line="276" w:lineRule="auto"/>
        <w:ind w:left="720" w:hanging="720"/>
        <w:jc w:val="center"/>
        <w:rPr>
          <w:rFonts w:asciiTheme="minorHAnsi" w:hAnsiTheme="minorHAnsi" w:cstheme="minorHAnsi"/>
          <w:b/>
          <w:color w:val="000000" w:themeColor="text1"/>
          <w:sz w:val="22"/>
        </w:rPr>
      </w:pPr>
      <w:r w:rsidRPr="00B667C4">
        <w:rPr>
          <w:rFonts w:asciiTheme="minorHAnsi" w:hAnsiTheme="minorHAnsi" w:cstheme="minorHAnsi"/>
          <w:b/>
          <w:color w:val="000000" w:themeColor="text1"/>
          <w:sz w:val="22"/>
          <w:lang w:val="en-US"/>
        </w:rPr>
        <w:t xml:space="preserve">Annex: </w:t>
      </w:r>
      <w:r w:rsidRPr="00B667C4">
        <w:rPr>
          <w:rFonts w:asciiTheme="minorHAnsi" w:hAnsiTheme="minorHAnsi" w:cstheme="minorHAnsi"/>
          <w:b/>
          <w:color w:val="000000" w:themeColor="text1"/>
          <w:sz w:val="22"/>
        </w:rPr>
        <w:t>Assessing the impact of services trade restrictions</w:t>
      </w:r>
      <w:r w:rsidRPr="00B667C4">
        <w:rPr>
          <w:rStyle w:val="FootnoteReference"/>
          <w:rFonts w:asciiTheme="minorHAnsi" w:hAnsiTheme="minorHAnsi" w:cstheme="minorHAnsi"/>
          <w:b/>
          <w:color w:val="000000" w:themeColor="text1"/>
          <w:sz w:val="22"/>
        </w:rPr>
        <w:footnoteReference w:id="11"/>
      </w:r>
    </w:p>
    <w:p w14:paraId="3D5CD814" w14:textId="5C05EFAE" w:rsidR="00EE0738" w:rsidRPr="00B667C4" w:rsidRDefault="00EE0738" w:rsidP="00D34F45">
      <w:pPr>
        <w:autoSpaceDE w:val="0"/>
        <w:autoSpaceDN w:val="0"/>
        <w:adjustRightInd w:val="0"/>
        <w:spacing w:after="120"/>
        <w:rPr>
          <w:rFonts w:asciiTheme="minorHAnsi" w:hAnsiTheme="minorHAnsi" w:cstheme="minorHAnsi"/>
          <w:sz w:val="22"/>
        </w:rPr>
      </w:pPr>
      <w:r w:rsidRPr="00B667C4">
        <w:rPr>
          <w:rFonts w:asciiTheme="minorHAnsi" w:hAnsiTheme="minorHAnsi" w:cstheme="minorHAnsi"/>
          <w:sz w:val="22"/>
        </w:rPr>
        <w:t>Beverelli et al. (201</w:t>
      </w:r>
      <w:r w:rsidR="003F2595" w:rsidRPr="00B667C4">
        <w:rPr>
          <w:rFonts w:asciiTheme="minorHAnsi" w:hAnsiTheme="minorHAnsi" w:cstheme="minorHAnsi"/>
          <w:sz w:val="22"/>
        </w:rPr>
        <w:t>6</w:t>
      </w:r>
      <w:r w:rsidRPr="00B667C4">
        <w:rPr>
          <w:rFonts w:asciiTheme="minorHAnsi" w:hAnsiTheme="minorHAnsi" w:cstheme="minorHAnsi"/>
          <w:sz w:val="22"/>
        </w:rPr>
        <w:t xml:space="preserve">) follow the approach proposed by Rajan and Zingales (1998) and assume that the effect of services trade policy on downstream industries is a positive function of the intensity with which services are used as intermediate inputs by the latter. </w:t>
      </w:r>
      <w:r w:rsidR="00496EBA" w:rsidRPr="00B667C4">
        <w:rPr>
          <w:rFonts w:asciiTheme="minorHAnsi" w:hAnsiTheme="minorHAnsi" w:cstheme="minorHAnsi"/>
          <w:sz w:val="22"/>
        </w:rPr>
        <w:t xml:space="preserve">They use the </w:t>
      </w:r>
      <w:r w:rsidRPr="00B667C4">
        <w:rPr>
          <w:rFonts w:asciiTheme="minorHAnsi" w:hAnsiTheme="minorHAnsi" w:cstheme="minorHAnsi"/>
          <w:sz w:val="22"/>
        </w:rPr>
        <w:t>World Bank</w:t>
      </w:r>
      <w:r w:rsidR="00496EBA" w:rsidRPr="00B667C4">
        <w:rPr>
          <w:rFonts w:asciiTheme="minorHAnsi" w:hAnsiTheme="minorHAnsi" w:cstheme="minorHAnsi"/>
          <w:sz w:val="22"/>
        </w:rPr>
        <w:t>’s</w:t>
      </w:r>
      <w:r w:rsidRPr="00B667C4">
        <w:rPr>
          <w:rFonts w:asciiTheme="minorHAnsi" w:hAnsiTheme="minorHAnsi" w:cstheme="minorHAnsi"/>
          <w:sz w:val="22"/>
        </w:rPr>
        <w:t xml:space="preserve"> services trade restrictiveness indices (STRIs) t</w:t>
      </w:r>
      <w:r w:rsidR="00496EBA" w:rsidRPr="00B667C4">
        <w:rPr>
          <w:rFonts w:asciiTheme="minorHAnsi" w:hAnsiTheme="minorHAnsi" w:cstheme="minorHAnsi"/>
          <w:sz w:val="22"/>
        </w:rPr>
        <w:t xml:space="preserve">o </w:t>
      </w:r>
      <w:r w:rsidRPr="00B667C4">
        <w:rPr>
          <w:rFonts w:asciiTheme="minorHAnsi" w:hAnsiTheme="minorHAnsi" w:cstheme="minorHAnsi"/>
          <w:sz w:val="22"/>
        </w:rPr>
        <w:t>estimate the following model:</w:t>
      </w:r>
    </w:p>
    <w:p w14:paraId="2CDB41B8" w14:textId="77777777" w:rsidR="00EE0738" w:rsidRPr="00B667C4" w:rsidRDefault="00ED230E" w:rsidP="00D34F45">
      <w:pPr>
        <w:autoSpaceDE w:val="0"/>
        <w:autoSpaceDN w:val="0"/>
        <w:adjustRightInd w:val="0"/>
        <w:spacing w:after="120"/>
        <w:rPr>
          <w:rFonts w:asciiTheme="minorHAnsi" w:hAnsiTheme="minorHAnsi" w:cstheme="minorHAnsi"/>
          <w:sz w:val="22"/>
        </w:rPr>
      </w:pPr>
      <m:oMathPara>
        <m:oMath>
          <m:sSub>
            <m:sSubPr>
              <m:ctrlPr>
                <w:rPr>
                  <w:rFonts w:ascii="Cambria Math" w:hAnsi="Cambria Math" w:cstheme="minorHAnsi"/>
                  <w:i/>
                  <w:sz w:val="22"/>
                </w:rPr>
              </m:ctrlPr>
            </m:sSubPr>
            <m:e>
              <m:r>
                <w:rPr>
                  <w:rFonts w:ascii="Cambria Math" w:hAnsi="Cambria Math" w:cstheme="minorHAnsi"/>
                  <w:sz w:val="22"/>
                </w:rPr>
                <m:t>y</m:t>
              </m:r>
            </m:e>
            <m:sub>
              <m:r>
                <w:rPr>
                  <w:rFonts w:ascii="Cambria Math" w:hAnsi="Cambria Math" w:cstheme="minorHAnsi"/>
                  <w:sz w:val="22"/>
                </w:rPr>
                <m:t>ij</m:t>
              </m:r>
            </m:sub>
          </m:sSub>
          <m:r>
            <w:rPr>
              <w:rFonts w:ascii="Cambria Math" w:hAnsi="Cambria Math" w:cstheme="minorHAnsi"/>
              <w:sz w:val="22"/>
            </w:rPr>
            <m:t>=α+β</m:t>
          </m:r>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r>
            <w:rPr>
              <w:rFonts w:ascii="Cambria Math" w:hAnsi="Cambria Math" w:cstheme="minorHAnsi"/>
              <w:sz w:val="22"/>
            </w:rPr>
            <m:t>+μ</m:t>
          </m:r>
          <m:d>
            <m:dPr>
              <m:ctrlPr>
                <w:rPr>
                  <w:rFonts w:ascii="Cambria Math" w:hAnsi="Cambria Math" w:cstheme="minorHAnsi"/>
                  <w:i/>
                  <w:sz w:val="22"/>
                </w:rPr>
              </m:ctrlPr>
            </m:dPr>
            <m:e>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IC</m:t>
                  </m:r>
                </m:e>
                <m:sub>
                  <m:r>
                    <w:rPr>
                      <w:rFonts w:ascii="Cambria Math" w:hAnsi="Cambria Math" w:cstheme="minorHAnsi"/>
                      <w:sz w:val="22"/>
                    </w:rPr>
                    <m:t>i</m:t>
                  </m:r>
                </m:sub>
              </m:sSub>
            </m:e>
          </m:d>
          <m:r>
            <w:rPr>
              <w:rFonts w:ascii="Cambria Math" w:hAnsi="Cambria Math" w:cstheme="minorHAnsi"/>
              <w:sz w:val="22"/>
            </w:rPr>
            <m:t>+γ</m:t>
          </m:r>
          <m:sSub>
            <m:sSubPr>
              <m:ctrlPr>
                <w:rPr>
                  <w:rFonts w:ascii="Cambria Math" w:hAnsi="Cambria Math" w:cstheme="minorHAnsi"/>
                  <w:i/>
                  <w:sz w:val="22"/>
                </w:rPr>
              </m:ctrlPr>
            </m:sSubPr>
            <m:e>
              <m:r>
                <w:rPr>
                  <w:rFonts w:ascii="Cambria Math" w:hAnsi="Cambria Math" w:cstheme="minorHAnsi"/>
                  <w:sz w:val="22"/>
                </w:rPr>
                <m:t>x</m:t>
              </m:r>
            </m:e>
            <m:sub>
              <m:r>
                <w:rPr>
                  <w:rFonts w:ascii="Cambria Math" w:hAnsi="Cambria Math" w:cstheme="minorHAnsi"/>
                  <w:sz w:val="22"/>
                </w:rPr>
                <m:t>ij</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δ</m:t>
              </m:r>
            </m:e>
            <m:sub>
              <m:r>
                <w:rPr>
                  <w:rFonts w:ascii="Cambria Math" w:hAnsi="Cambria Math" w:cstheme="minorHAnsi"/>
                  <w:sz w:val="22"/>
                </w:rPr>
                <m:t>i</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δ</m:t>
              </m:r>
            </m:e>
            <m:sub>
              <m:r>
                <w:rPr>
                  <w:rFonts w:ascii="Cambria Math" w:hAnsi="Cambria Math" w:cstheme="minorHAnsi"/>
                  <w:sz w:val="22"/>
                </w:rPr>
                <m:t>j</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ϵ</m:t>
              </m:r>
            </m:e>
            <m:sub>
              <m:r>
                <w:rPr>
                  <w:rFonts w:ascii="Cambria Math" w:hAnsi="Cambria Math" w:cstheme="minorHAnsi"/>
                  <w:sz w:val="22"/>
                </w:rPr>
                <m:t>ij</m:t>
              </m:r>
            </m:sub>
          </m:sSub>
        </m:oMath>
      </m:oMathPara>
    </w:p>
    <w:p w14:paraId="72750D5A" w14:textId="638DC4A3" w:rsidR="00EE0738" w:rsidRPr="00B667C4" w:rsidRDefault="00EE0738" w:rsidP="00D34F45">
      <w:pPr>
        <w:autoSpaceDE w:val="0"/>
        <w:autoSpaceDN w:val="0"/>
        <w:adjustRightInd w:val="0"/>
        <w:spacing w:after="120"/>
        <w:rPr>
          <w:rFonts w:asciiTheme="minorHAnsi" w:hAnsiTheme="minorHAnsi" w:cstheme="minorHAnsi"/>
          <w:sz w:val="22"/>
        </w:rPr>
      </w:pPr>
      <w:r w:rsidRPr="00B667C4">
        <w:rPr>
          <w:rFonts w:asciiTheme="minorHAnsi" w:hAnsiTheme="minorHAnsi" w:cstheme="minorHAnsi"/>
          <w:sz w:val="22"/>
        </w:rPr>
        <w:t xml:space="preserve">where </w:t>
      </w:r>
      <m:oMath>
        <m:sSub>
          <m:sSubPr>
            <m:ctrlPr>
              <w:rPr>
                <w:rFonts w:ascii="Cambria Math" w:hAnsi="Cambria Math" w:cstheme="minorHAnsi"/>
                <w:i/>
                <w:sz w:val="22"/>
              </w:rPr>
            </m:ctrlPr>
          </m:sSubPr>
          <m:e>
            <m:r>
              <w:rPr>
                <w:rFonts w:ascii="Cambria Math" w:hAnsi="Cambria Math" w:cstheme="minorHAnsi"/>
                <w:sz w:val="22"/>
              </w:rPr>
              <m:t>y</m:t>
            </m:r>
          </m:e>
          <m:sub>
            <m:r>
              <w:rPr>
                <w:rFonts w:ascii="Cambria Math" w:hAnsi="Cambria Math" w:cstheme="minorHAnsi"/>
                <w:sz w:val="22"/>
              </w:rPr>
              <m:t>ij</m:t>
            </m:r>
          </m:sub>
        </m:sSub>
      </m:oMath>
      <w:r w:rsidRPr="00B667C4">
        <w:rPr>
          <w:rFonts w:asciiTheme="minorHAnsi" w:hAnsiTheme="minorHAnsi" w:cstheme="minorHAnsi"/>
          <w:sz w:val="22"/>
        </w:rPr>
        <w:t xml:space="preserve"> is the natural logarithm of  productivity in downstream sector </w:t>
      </w:r>
      <m:oMath>
        <m:r>
          <w:rPr>
            <w:rFonts w:ascii="Cambria Math" w:hAnsi="Cambria Math" w:cstheme="minorHAnsi"/>
            <w:sz w:val="22"/>
          </w:rPr>
          <m:t>j</m:t>
        </m:r>
      </m:oMath>
      <w:r w:rsidRPr="00B667C4">
        <w:rPr>
          <w:rFonts w:asciiTheme="minorHAnsi" w:hAnsiTheme="minorHAnsi" w:cstheme="minorHAnsi"/>
          <w:sz w:val="22"/>
        </w:rPr>
        <w:t xml:space="preserve"> in country </w:t>
      </w:r>
      <m:oMath>
        <m:r>
          <w:rPr>
            <w:rFonts w:ascii="Cambria Math" w:hAnsi="Cambria Math" w:cstheme="minorHAnsi"/>
            <w:sz w:val="22"/>
          </w:rPr>
          <m:t>i</m:t>
        </m:r>
      </m:oMath>
      <w:r w:rsidRPr="00B667C4">
        <w:rPr>
          <w:rFonts w:asciiTheme="minorHAnsi" w:hAnsiTheme="minorHAnsi" w:cstheme="minorHAnsi"/>
          <w:sz w:val="22"/>
        </w:rPr>
        <w:t xml:space="preserve">, </w:t>
      </w:r>
      <m:oMath>
        <m:sSub>
          <m:sSubPr>
            <m:ctrlPr>
              <w:rPr>
                <w:rFonts w:ascii="Cambria Math" w:hAnsi="Cambria Math" w:cstheme="minorHAnsi"/>
                <w:i/>
                <w:sz w:val="22"/>
              </w:rPr>
            </m:ctrlPr>
          </m:sSubPr>
          <m:e>
            <m:r>
              <w:rPr>
                <w:rFonts w:ascii="Cambria Math" w:hAnsi="Cambria Math" w:cstheme="minorHAnsi"/>
                <w:sz w:val="22"/>
              </w:rPr>
              <m:t>IC</m:t>
            </m:r>
          </m:e>
          <m:sub>
            <m:r>
              <w:rPr>
                <w:rFonts w:ascii="Cambria Math" w:hAnsi="Cambria Math" w:cstheme="minorHAnsi"/>
                <w:sz w:val="22"/>
              </w:rPr>
              <m:t>i</m:t>
            </m:r>
          </m:sub>
        </m:sSub>
      </m:oMath>
      <w:r w:rsidRPr="00B667C4">
        <w:rPr>
          <w:rFonts w:asciiTheme="minorHAnsi" w:hAnsiTheme="minorHAnsi" w:cstheme="minorHAnsi"/>
          <w:sz w:val="22"/>
        </w:rPr>
        <w:t xml:space="preserve"> is a measure of economic governance (quality of the investment climate) in country </w:t>
      </w:r>
      <m:oMath>
        <m:r>
          <w:rPr>
            <w:rFonts w:ascii="Cambria Math" w:hAnsi="Cambria Math" w:cstheme="minorHAnsi"/>
            <w:sz w:val="22"/>
          </w:rPr>
          <m:t>i</m:t>
        </m:r>
      </m:oMath>
      <w:r w:rsidRPr="00B667C4">
        <w:rPr>
          <w:rFonts w:asciiTheme="minorHAnsi" w:hAnsiTheme="minorHAnsi" w:cstheme="minorHAnsi"/>
          <w:sz w:val="22"/>
        </w:rPr>
        <w:t xml:space="preserve">, </w:t>
      </w:r>
      <m:oMath>
        <m:sSub>
          <m:sSubPr>
            <m:ctrlPr>
              <w:rPr>
                <w:rFonts w:ascii="Cambria Math" w:hAnsi="Cambria Math" w:cstheme="minorHAnsi"/>
                <w:i/>
                <w:sz w:val="22"/>
              </w:rPr>
            </m:ctrlPr>
          </m:sSubPr>
          <m:e>
            <m:r>
              <w:rPr>
                <w:rFonts w:ascii="Cambria Math" w:hAnsi="Cambria Math" w:cstheme="minorHAnsi"/>
                <w:sz w:val="22"/>
              </w:rPr>
              <m:t>x</m:t>
            </m:r>
          </m:e>
          <m:sub>
            <m:r>
              <w:rPr>
                <w:rFonts w:ascii="Cambria Math" w:hAnsi="Cambria Math" w:cstheme="minorHAnsi"/>
                <w:sz w:val="22"/>
              </w:rPr>
              <m:t>ij</m:t>
            </m:r>
          </m:sub>
        </m:sSub>
      </m:oMath>
      <w:r w:rsidRPr="00B667C4">
        <w:rPr>
          <w:rFonts w:asciiTheme="minorHAnsi" w:hAnsiTheme="minorHAnsi" w:cstheme="minorHAnsi"/>
          <w:sz w:val="22"/>
        </w:rPr>
        <w:t xml:space="preserve"> is a control variable (the average level of tariff protection for non-services inputs used by downstream manufacturing sector </w:t>
      </w:r>
      <m:oMath>
        <m:r>
          <w:rPr>
            <w:rFonts w:ascii="Cambria Math" w:hAnsi="Cambria Math" w:cstheme="minorHAnsi"/>
            <w:sz w:val="22"/>
          </w:rPr>
          <m:t>j</m:t>
        </m:r>
      </m:oMath>
      <w:r w:rsidRPr="00B667C4">
        <w:rPr>
          <w:rFonts w:asciiTheme="minorHAnsi" w:hAnsiTheme="minorHAnsi" w:cstheme="minorHAnsi"/>
          <w:sz w:val="22"/>
        </w:rPr>
        <w:t xml:space="preserve">) and </w:t>
      </w:r>
      <m:oMath>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oMath>
      <w:r w:rsidRPr="00B667C4">
        <w:rPr>
          <w:rFonts w:asciiTheme="minorHAnsi" w:hAnsiTheme="minorHAnsi" w:cstheme="minorHAnsi"/>
          <w:sz w:val="22"/>
        </w:rPr>
        <w:t xml:space="preserve"> is a measure of the effective restrictiveness of services trade policy confronted by downstream sector </w:t>
      </w:r>
      <m:oMath>
        <m:r>
          <w:rPr>
            <w:rFonts w:ascii="Cambria Math" w:hAnsi="Cambria Math" w:cstheme="minorHAnsi"/>
            <w:sz w:val="22"/>
          </w:rPr>
          <m:t>j</m:t>
        </m:r>
      </m:oMath>
      <w:r w:rsidRPr="00B667C4">
        <w:rPr>
          <w:rFonts w:asciiTheme="minorHAnsi" w:hAnsiTheme="minorHAnsi" w:cstheme="minorHAnsi"/>
          <w:sz w:val="22"/>
        </w:rPr>
        <w:t xml:space="preserve"> in country </w:t>
      </w:r>
      <m:oMath>
        <m:r>
          <w:rPr>
            <w:rFonts w:ascii="Cambria Math" w:hAnsi="Cambria Math" w:cstheme="minorHAnsi"/>
            <w:sz w:val="22"/>
          </w:rPr>
          <m:t>i</m:t>
        </m:r>
      </m:oMath>
      <w:r w:rsidRPr="00B667C4">
        <w:rPr>
          <w:rFonts w:asciiTheme="minorHAnsi" w:hAnsiTheme="minorHAnsi" w:cstheme="minorHAnsi"/>
          <w:sz w:val="22"/>
        </w:rPr>
        <w:t xml:space="preserve">. The latter is constructed by calculating </w:t>
      </w:r>
      <m:oMath>
        <m:nary>
          <m:naryPr>
            <m:chr m:val="∑"/>
            <m:limLoc m:val="undOvr"/>
            <m:supHide m:val="1"/>
            <m:ctrlPr>
              <w:rPr>
                <w:rFonts w:ascii="Cambria Math" w:hAnsi="Cambria Math" w:cstheme="minorHAnsi"/>
                <w:i/>
                <w:sz w:val="22"/>
              </w:rPr>
            </m:ctrlPr>
          </m:naryPr>
          <m:sub>
            <m:r>
              <w:rPr>
                <w:rFonts w:ascii="Cambria Math" w:hAnsi="Cambria Math" w:cstheme="minorHAnsi"/>
                <w:sz w:val="22"/>
              </w:rPr>
              <m:t>s</m:t>
            </m:r>
          </m:sub>
          <m:sup/>
          <m:e>
            <m:sSub>
              <m:sSubPr>
                <m:ctrlPr>
                  <w:rPr>
                    <w:rFonts w:ascii="Cambria Math" w:hAnsi="Cambria Math" w:cstheme="minorHAnsi"/>
                    <w:i/>
                    <w:sz w:val="22"/>
                  </w:rPr>
                </m:ctrlPr>
              </m:sSubPr>
              <m:e>
                <m:r>
                  <w:rPr>
                    <w:rFonts w:ascii="Cambria Math" w:hAnsi="Cambria Math" w:cstheme="minorHAnsi"/>
                    <w:sz w:val="22"/>
                  </w:rPr>
                  <m:t>STRI</m:t>
                </m:r>
              </m:e>
              <m:sub>
                <m:r>
                  <w:rPr>
                    <w:rFonts w:ascii="Cambria Math" w:hAnsi="Cambria Math" w:cstheme="minorHAnsi"/>
                    <w:sz w:val="22"/>
                  </w:rPr>
                  <m:t>is</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w</m:t>
                </m:r>
              </m:e>
              <m:sub>
                <m:r>
                  <w:rPr>
                    <w:rFonts w:ascii="Cambria Math" w:hAnsi="Cambria Math" w:cstheme="minorHAnsi"/>
                    <w:sz w:val="22"/>
                  </w:rPr>
                  <m:t>ijs</m:t>
                </m:r>
              </m:sub>
            </m:sSub>
          </m:e>
        </m:nary>
      </m:oMath>
      <w:r w:rsidRPr="00B667C4">
        <w:rPr>
          <w:rFonts w:asciiTheme="minorHAnsi" w:hAnsiTheme="minorHAnsi" w:cstheme="minorHAnsi"/>
          <w:sz w:val="22"/>
        </w:rPr>
        <w:t xml:space="preserve"> where </w:t>
      </w:r>
      <m:oMath>
        <m:sSub>
          <m:sSubPr>
            <m:ctrlPr>
              <w:rPr>
                <w:rFonts w:ascii="Cambria Math" w:hAnsi="Cambria Math" w:cstheme="minorHAnsi"/>
                <w:i/>
                <w:sz w:val="22"/>
              </w:rPr>
            </m:ctrlPr>
          </m:sSubPr>
          <m:e>
            <m:r>
              <w:rPr>
                <w:rFonts w:ascii="Cambria Math" w:hAnsi="Cambria Math" w:cstheme="minorHAnsi"/>
                <w:sz w:val="22"/>
              </w:rPr>
              <m:t>STRI</m:t>
            </m:r>
          </m:e>
          <m:sub>
            <m:r>
              <w:rPr>
                <w:rFonts w:ascii="Cambria Math" w:hAnsi="Cambria Math" w:cstheme="minorHAnsi"/>
                <w:sz w:val="22"/>
              </w:rPr>
              <m:t>is</m:t>
            </m:r>
          </m:sub>
        </m:sSub>
      </m:oMath>
      <w:r w:rsidRPr="00B667C4">
        <w:rPr>
          <w:rFonts w:asciiTheme="minorHAnsi" w:hAnsiTheme="minorHAnsi" w:cstheme="minorHAnsi"/>
          <w:sz w:val="22"/>
        </w:rPr>
        <w:t xml:space="preserve"> is the level of services trade restrictiveness for country </w:t>
      </w:r>
      <m:oMath>
        <m:r>
          <w:rPr>
            <w:rFonts w:ascii="Cambria Math" w:hAnsi="Cambria Math" w:cstheme="minorHAnsi"/>
            <w:sz w:val="22"/>
          </w:rPr>
          <m:t>i</m:t>
        </m:r>
      </m:oMath>
      <w:r w:rsidRPr="00B667C4">
        <w:rPr>
          <w:rFonts w:asciiTheme="minorHAnsi" w:hAnsiTheme="minorHAnsi" w:cstheme="minorHAnsi"/>
          <w:sz w:val="22"/>
        </w:rPr>
        <w:t xml:space="preserve"> and service sector </w:t>
      </w:r>
      <m:oMath>
        <m:r>
          <w:rPr>
            <w:rFonts w:ascii="Cambria Math" w:hAnsi="Cambria Math" w:cstheme="minorHAnsi"/>
            <w:sz w:val="22"/>
          </w:rPr>
          <m:t>s</m:t>
        </m:r>
      </m:oMath>
      <w:r w:rsidRPr="00B667C4">
        <w:rPr>
          <w:rFonts w:asciiTheme="minorHAnsi" w:hAnsiTheme="minorHAnsi" w:cstheme="minorHAnsi"/>
          <w:sz w:val="22"/>
        </w:rPr>
        <w:t xml:space="preserve"> going from 0 as complete openness to 100 as full restrictiveness and </w:t>
      </w:r>
      <m:oMath>
        <m:sSub>
          <m:sSubPr>
            <m:ctrlPr>
              <w:rPr>
                <w:rFonts w:ascii="Cambria Math" w:hAnsi="Cambria Math" w:cstheme="minorHAnsi"/>
                <w:i/>
                <w:sz w:val="22"/>
              </w:rPr>
            </m:ctrlPr>
          </m:sSubPr>
          <m:e>
            <m:r>
              <w:rPr>
                <w:rFonts w:ascii="Cambria Math" w:hAnsi="Cambria Math" w:cstheme="minorHAnsi"/>
                <w:sz w:val="22"/>
              </w:rPr>
              <m:t>w</m:t>
            </m:r>
          </m:e>
          <m:sub>
            <m:r>
              <w:rPr>
                <w:rFonts w:ascii="Cambria Math" w:hAnsi="Cambria Math" w:cstheme="minorHAnsi"/>
                <w:sz w:val="22"/>
              </w:rPr>
              <m:t>ijs</m:t>
            </m:r>
          </m:sub>
        </m:sSub>
      </m:oMath>
      <w:r w:rsidRPr="00B667C4">
        <w:rPr>
          <w:rFonts w:asciiTheme="minorHAnsi" w:hAnsiTheme="minorHAnsi" w:cstheme="minorHAnsi"/>
          <w:sz w:val="22"/>
        </w:rPr>
        <w:t xml:space="preserve"> are a set of weights that reflect the use of service </w:t>
      </w:r>
      <m:oMath>
        <m:r>
          <w:rPr>
            <w:rFonts w:ascii="Cambria Math" w:hAnsi="Cambria Math" w:cstheme="minorHAnsi"/>
            <w:sz w:val="22"/>
          </w:rPr>
          <m:t>s</m:t>
        </m:r>
      </m:oMath>
      <w:r w:rsidRPr="00B667C4">
        <w:rPr>
          <w:rFonts w:asciiTheme="minorHAnsi" w:hAnsiTheme="minorHAnsi" w:cstheme="minorHAnsi"/>
          <w:sz w:val="22"/>
        </w:rPr>
        <w:t xml:space="preserve"> by manufacturing sector </w:t>
      </w:r>
      <w:r w:rsidRPr="00B667C4">
        <w:rPr>
          <w:rFonts w:asciiTheme="minorHAnsi" w:hAnsiTheme="minorHAnsi" w:cstheme="minorHAnsi"/>
          <w:i/>
          <w:sz w:val="22"/>
        </w:rPr>
        <w:t>j</w:t>
      </w:r>
      <w:r w:rsidRPr="00B667C4">
        <w:rPr>
          <w:rFonts w:asciiTheme="minorHAnsi" w:hAnsiTheme="minorHAnsi" w:cstheme="minorHAnsi"/>
          <w:sz w:val="22"/>
        </w:rPr>
        <w:t xml:space="preserve"> in country </w:t>
      </w:r>
      <m:oMath>
        <m:r>
          <w:rPr>
            <w:rFonts w:ascii="Cambria Math" w:hAnsi="Cambria Math" w:cstheme="minorHAnsi"/>
            <w:sz w:val="22"/>
          </w:rPr>
          <m:t>i</m:t>
        </m:r>
      </m:oMath>
      <w:r w:rsidRPr="00B667C4">
        <w:rPr>
          <w:rFonts w:asciiTheme="minorHAnsi" w:hAnsiTheme="minorHAnsi" w:cstheme="minorHAnsi"/>
          <w:sz w:val="22"/>
        </w:rPr>
        <w:t xml:space="preserve">.  The input-output </w:t>
      </w:r>
      <w:r w:rsidR="00496EBA" w:rsidRPr="00B667C4">
        <w:rPr>
          <w:rFonts w:asciiTheme="minorHAnsi" w:hAnsiTheme="minorHAnsi" w:cstheme="minorHAnsi"/>
          <w:sz w:val="22"/>
        </w:rPr>
        <w:t xml:space="preserve">coefficients </w:t>
      </w:r>
      <w:r w:rsidRPr="00B667C4">
        <w:rPr>
          <w:rFonts w:asciiTheme="minorHAnsi" w:hAnsiTheme="minorHAnsi" w:cstheme="minorHAnsi"/>
          <w:sz w:val="22"/>
        </w:rPr>
        <w:t>for the United States is used to calculate these weights.</w:t>
      </w:r>
      <w:r w:rsidRPr="00B667C4">
        <w:rPr>
          <w:rStyle w:val="FootnoteReference"/>
          <w:rFonts w:asciiTheme="minorHAnsi" w:hAnsiTheme="minorHAnsi" w:cstheme="minorHAnsi"/>
          <w:sz w:val="22"/>
        </w:rPr>
        <w:footnoteReference w:id="12"/>
      </w:r>
      <w:r w:rsidRPr="00B667C4">
        <w:rPr>
          <w:rFonts w:asciiTheme="minorHAnsi" w:hAnsiTheme="minorHAnsi" w:cstheme="minorHAnsi"/>
          <w:sz w:val="22"/>
        </w:rPr>
        <w:t xml:space="preserve"> The same approach is used to weight the effect of import tariffs on intermediate goods used in downstream manufacturing sectors.</w:t>
      </w:r>
    </w:p>
    <w:p w14:paraId="5BEA9EFE" w14:textId="6AC8C6A4" w:rsidR="00EE0738" w:rsidRPr="00B667C4" w:rsidRDefault="00EE0738" w:rsidP="00D34F45">
      <w:pPr>
        <w:autoSpaceDE w:val="0"/>
        <w:autoSpaceDN w:val="0"/>
        <w:adjustRightInd w:val="0"/>
        <w:spacing w:after="120"/>
        <w:rPr>
          <w:rFonts w:asciiTheme="minorHAnsi" w:hAnsiTheme="minorHAnsi" w:cstheme="minorHAnsi"/>
          <w:sz w:val="22"/>
        </w:rPr>
      </w:pPr>
      <w:r w:rsidRPr="00B667C4">
        <w:rPr>
          <w:rFonts w:asciiTheme="minorHAnsi" w:hAnsiTheme="minorHAnsi" w:cstheme="minorHAnsi"/>
          <w:sz w:val="22"/>
        </w:rPr>
        <w:t xml:space="preserve">The estimated coefficient on </w:t>
      </w:r>
      <m:oMath>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oMath>
      <w:r w:rsidRPr="00B667C4">
        <w:rPr>
          <w:rFonts w:asciiTheme="minorHAnsi" w:hAnsiTheme="minorHAnsi" w:cstheme="minorHAnsi"/>
          <w:sz w:val="22"/>
        </w:rPr>
        <w:t xml:space="preserve"> (</w:t>
      </w:r>
      <m:oMath>
        <m:r>
          <w:rPr>
            <w:rFonts w:ascii="Cambria Math" w:hAnsi="Cambria Math" w:cstheme="minorHAnsi"/>
            <w:sz w:val="22"/>
          </w:rPr>
          <m:t>β</m:t>
        </m:r>
      </m:oMath>
      <w:r w:rsidRPr="00B667C4">
        <w:rPr>
          <w:rFonts w:asciiTheme="minorHAnsi" w:hAnsiTheme="minorHAnsi" w:cstheme="minorHAnsi"/>
          <w:sz w:val="22"/>
        </w:rPr>
        <w:t>) and the interaction effect (</w:t>
      </w:r>
      <m:oMath>
        <m:r>
          <w:rPr>
            <w:rFonts w:ascii="Cambria Math" w:hAnsi="Cambria Math" w:cstheme="minorHAnsi"/>
            <w:sz w:val="22"/>
          </w:rPr>
          <m:t>μ</m:t>
        </m:r>
      </m:oMath>
      <w:r w:rsidRPr="00B667C4">
        <w:rPr>
          <w:rFonts w:asciiTheme="minorHAnsi" w:hAnsiTheme="minorHAnsi" w:cstheme="minorHAnsi"/>
          <w:sz w:val="22"/>
        </w:rPr>
        <w:t>) provide a qualitative assessment of the impact of higher services trade policy restrictions on downstream industries, assuming at least some level of demand for services is observed. Beverelli et al. (201</w:t>
      </w:r>
      <w:r w:rsidR="003F2595" w:rsidRPr="00B667C4">
        <w:rPr>
          <w:rFonts w:asciiTheme="minorHAnsi" w:hAnsiTheme="minorHAnsi" w:cstheme="minorHAnsi"/>
          <w:sz w:val="22"/>
        </w:rPr>
        <w:t>6</w:t>
      </w:r>
      <w:r w:rsidRPr="00B667C4">
        <w:rPr>
          <w:rFonts w:asciiTheme="minorHAnsi" w:hAnsiTheme="minorHAnsi" w:cstheme="minorHAnsi"/>
          <w:sz w:val="22"/>
        </w:rPr>
        <w:t xml:space="preserve">) find that higher STRIs are associated with lower productivity performance in downstream sectors, but that this effect if highly dependent on the quality of governance, as measured by standard indicators compiled by the World Bank such as the rule of law, regulatory quality and control of corruption. The marginal effect of reducing barriers to services trade on downstream productivity accounting for cross-country heterogeneity in economic governance - </w:t>
      </w:r>
      <m:oMath>
        <m:f>
          <m:fPr>
            <m:ctrlPr>
              <w:rPr>
                <w:rFonts w:ascii="Cambria Math" w:hAnsi="Cambria Math" w:cstheme="minorHAnsi"/>
                <w:i/>
                <w:sz w:val="22"/>
              </w:rPr>
            </m:ctrlPr>
          </m:fPr>
          <m:num>
            <m:r>
              <w:rPr>
                <w:rFonts w:ascii="Cambria Math" w:hAnsi="Cambria Math" w:cstheme="minorHAnsi"/>
                <w:sz w:val="22"/>
              </w:rPr>
              <m:t>∂y</m:t>
            </m:r>
          </m:num>
          <m:den>
            <m:r>
              <w:rPr>
                <w:rFonts w:ascii="Cambria Math" w:hAnsi="Cambria Math" w:cstheme="minorHAnsi"/>
                <w:sz w:val="22"/>
              </w:rPr>
              <m:t>∂CSTRI</m:t>
            </m:r>
          </m:den>
        </m:f>
        <m:r>
          <w:rPr>
            <w:rFonts w:ascii="Cambria Math" w:hAnsi="Cambria Math" w:cstheme="minorHAnsi"/>
            <w:sz w:val="22"/>
          </w:rPr>
          <m:t>=β+μ×</m:t>
        </m:r>
        <m:sSub>
          <m:sSubPr>
            <m:ctrlPr>
              <w:rPr>
                <w:rFonts w:ascii="Cambria Math" w:hAnsi="Cambria Math" w:cstheme="minorHAnsi"/>
                <w:i/>
                <w:sz w:val="22"/>
              </w:rPr>
            </m:ctrlPr>
          </m:sSubPr>
          <m:e>
            <m:r>
              <w:rPr>
                <w:rFonts w:ascii="Cambria Math" w:hAnsi="Cambria Math" w:cstheme="minorHAnsi"/>
                <w:sz w:val="22"/>
              </w:rPr>
              <m:t>IC</m:t>
            </m:r>
          </m:e>
          <m:sub>
            <m:r>
              <w:rPr>
                <w:rFonts w:ascii="Cambria Math" w:hAnsi="Cambria Math" w:cstheme="minorHAnsi"/>
                <w:sz w:val="22"/>
              </w:rPr>
              <m:t>i</m:t>
            </m:r>
          </m:sub>
        </m:sSub>
      </m:oMath>
      <w:r w:rsidRPr="00B667C4">
        <w:rPr>
          <w:rFonts w:asciiTheme="minorHAnsi" w:hAnsiTheme="minorHAnsi" w:cstheme="minorHAnsi"/>
          <w:sz w:val="22"/>
        </w:rPr>
        <w:t xml:space="preserve"> - increases with the quality of governance (</w:t>
      </w:r>
      <m:oMath>
        <m:r>
          <w:rPr>
            <w:rFonts w:ascii="Cambria Math" w:hAnsi="Cambria Math" w:cstheme="minorHAnsi"/>
            <w:sz w:val="22"/>
          </w:rPr>
          <m:t>μ&lt;0</m:t>
        </m:r>
      </m:oMath>
      <w:r w:rsidRPr="00B667C4">
        <w:rPr>
          <w:rFonts w:asciiTheme="minorHAnsi" w:hAnsiTheme="minorHAnsi" w:cstheme="minorHAnsi"/>
          <w:sz w:val="22"/>
        </w:rPr>
        <w:t>) and it is positive and statistically significant at the 0.05 percent level for 65% of their sample observations (33 out of 57 countries). This conditionality result is robust to a variety of alternative approaches and instruments to account for measurement and endogeneity issues.</w:t>
      </w:r>
      <w:r w:rsidRPr="00B667C4">
        <w:rPr>
          <w:rStyle w:val="FootnoteReference"/>
          <w:rFonts w:asciiTheme="minorHAnsi" w:hAnsiTheme="minorHAnsi" w:cstheme="minorHAnsi"/>
          <w:sz w:val="22"/>
        </w:rPr>
        <w:footnoteReference w:id="13"/>
      </w:r>
    </w:p>
    <w:p w14:paraId="5136428A" w14:textId="77777777" w:rsidR="00EE0738" w:rsidRPr="00B667C4" w:rsidRDefault="00EE0738" w:rsidP="00D34F45">
      <w:pPr>
        <w:autoSpaceDE w:val="0"/>
        <w:autoSpaceDN w:val="0"/>
        <w:adjustRightInd w:val="0"/>
        <w:spacing w:after="120"/>
        <w:rPr>
          <w:rFonts w:asciiTheme="minorHAnsi" w:hAnsiTheme="minorHAnsi" w:cstheme="minorHAnsi"/>
          <w:sz w:val="22"/>
        </w:rPr>
      </w:pPr>
      <w:r w:rsidRPr="00B667C4">
        <w:rPr>
          <w:rFonts w:asciiTheme="minorHAnsi" w:hAnsiTheme="minorHAnsi" w:cstheme="minorHAnsi"/>
          <w:sz w:val="22"/>
        </w:rPr>
        <w:t xml:space="preserve">To quantitatively assess how much the downstream effect of services trade policy is influenced by economic governance quality in a country, the estimates of the interaction model can be used to calculate the productivity changes associated with complete removal of the restrictions to services. In the STRI database a fully unrestricted trade policy regime corresponds to an STRI with a value of 0. Therefore, the policy change associated with a country removing all existing barriers to trade through commercial presence in services sector </w:t>
      </w:r>
      <w:r w:rsidRPr="00B667C4">
        <w:rPr>
          <w:rFonts w:asciiTheme="minorHAnsi" w:hAnsiTheme="minorHAnsi" w:cstheme="minorHAnsi"/>
          <w:i/>
          <w:sz w:val="22"/>
        </w:rPr>
        <w:t>s</w:t>
      </w:r>
      <w:r w:rsidRPr="00B667C4">
        <w:rPr>
          <w:rFonts w:asciiTheme="minorHAnsi" w:hAnsiTheme="minorHAnsi" w:cstheme="minorHAnsi"/>
          <w:sz w:val="22"/>
        </w:rPr>
        <w:t xml:space="preserve"> is given by </w:t>
      </w:r>
      <m:oMath>
        <m:r>
          <w:rPr>
            <w:rFonts w:ascii="Cambria Math" w:hAnsi="Cambria Math" w:cstheme="minorHAnsi"/>
            <w:sz w:val="22"/>
          </w:rPr>
          <m:t>0-</m:t>
        </m:r>
        <m:sSub>
          <m:sSubPr>
            <m:ctrlPr>
              <w:rPr>
                <w:rFonts w:ascii="Cambria Math" w:hAnsi="Cambria Math" w:cstheme="minorHAnsi"/>
                <w:i/>
                <w:sz w:val="22"/>
              </w:rPr>
            </m:ctrlPr>
          </m:sSubPr>
          <m:e>
            <m:r>
              <w:rPr>
                <w:rFonts w:ascii="Cambria Math" w:hAnsi="Cambria Math" w:cstheme="minorHAnsi"/>
                <w:sz w:val="22"/>
              </w:rPr>
              <m:t>STRI</m:t>
            </m:r>
          </m:e>
          <m:sub>
            <m:r>
              <w:rPr>
                <w:rFonts w:ascii="Cambria Math" w:hAnsi="Cambria Math" w:cstheme="minorHAnsi"/>
                <w:sz w:val="22"/>
              </w:rPr>
              <m:t>is</m:t>
            </m:r>
          </m:sub>
        </m:sSub>
      </m:oMath>
      <w:r w:rsidRPr="00B667C4">
        <w:rPr>
          <w:rFonts w:asciiTheme="minorHAnsi" w:hAnsiTheme="minorHAnsi" w:cstheme="minorHAnsi"/>
          <w:sz w:val="22"/>
        </w:rPr>
        <w:t xml:space="preserve">. The variation in the independent variable </w:t>
      </w:r>
      <m:oMath>
        <m:r>
          <w:rPr>
            <w:rFonts w:ascii="Cambria Math" w:hAnsi="Cambria Math" w:cstheme="minorHAnsi"/>
            <w:sz w:val="22"/>
          </w:rPr>
          <m:t>CSTRI</m:t>
        </m:r>
      </m:oMath>
      <w:r w:rsidRPr="00B667C4">
        <w:rPr>
          <w:rFonts w:asciiTheme="minorHAnsi" w:hAnsiTheme="minorHAnsi" w:cstheme="minorHAnsi"/>
          <w:sz w:val="22"/>
        </w:rPr>
        <w:t xml:space="preserve"> reflecting full liberalization of trade across services sectors</w:t>
      </w:r>
      <w:r w:rsidRPr="00B667C4">
        <w:rPr>
          <w:rStyle w:val="FootnoteReference"/>
          <w:rFonts w:asciiTheme="minorHAnsi" w:hAnsiTheme="minorHAnsi" w:cstheme="minorHAnsi"/>
          <w:sz w:val="22"/>
        </w:rPr>
        <w:footnoteReference w:id="14"/>
      </w:r>
      <w:r w:rsidRPr="00B667C4">
        <w:rPr>
          <w:rFonts w:asciiTheme="minorHAnsi" w:hAnsiTheme="minorHAnsi" w:cstheme="minorHAnsi"/>
          <w:sz w:val="22"/>
        </w:rPr>
        <w:t xml:space="preserve"> is then given by: </w:t>
      </w:r>
    </w:p>
    <w:p w14:paraId="29A38EA3" w14:textId="77777777" w:rsidR="00EE0738" w:rsidRPr="00B667C4" w:rsidRDefault="00EE0738" w:rsidP="00D34F45">
      <w:pPr>
        <w:spacing w:after="120"/>
        <w:rPr>
          <w:rFonts w:asciiTheme="minorHAnsi" w:hAnsiTheme="minorHAnsi" w:cstheme="minorHAnsi"/>
          <w:sz w:val="22"/>
        </w:rPr>
      </w:pPr>
      <m:oMathPara>
        <m:oMath>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r>
            <w:rPr>
              <w:rFonts w:ascii="Cambria Math" w:hAnsi="Cambria Math" w:cstheme="minorHAnsi"/>
              <w:sz w:val="22"/>
            </w:rPr>
            <m:t>=</m:t>
          </m:r>
          <m:nary>
            <m:naryPr>
              <m:chr m:val="∑"/>
              <m:limLoc m:val="undOvr"/>
              <m:supHide m:val="1"/>
              <m:ctrlPr>
                <w:rPr>
                  <w:rFonts w:ascii="Cambria Math" w:hAnsi="Cambria Math" w:cstheme="minorHAnsi"/>
                  <w:i/>
                  <w:sz w:val="22"/>
                </w:rPr>
              </m:ctrlPr>
            </m:naryPr>
            <m:sub>
              <m:r>
                <w:rPr>
                  <w:rFonts w:ascii="Cambria Math" w:hAnsi="Cambria Math" w:cstheme="minorHAnsi"/>
                  <w:sz w:val="22"/>
                </w:rPr>
                <m:t>s</m:t>
              </m:r>
            </m:sub>
            <m:sup/>
            <m:e>
              <m:sSub>
                <m:sSubPr>
                  <m:ctrlPr>
                    <w:rPr>
                      <w:rFonts w:ascii="Cambria Math" w:hAnsi="Cambria Math" w:cstheme="minorHAnsi"/>
                      <w:i/>
                      <w:sz w:val="22"/>
                    </w:rPr>
                  </m:ctrlPr>
                </m:sSubPr>
                <m:e>
                  <m:r>
                    <w:rPr>
                      <w:rFonts w:ascii="Cambria Math" w:hAnsi="Cambria Math" w:cstheme="minorHAnsi"/>
                      <w:sz w:val="22"/>
                    </w:rPr>
                    <m:t>(0-STRI</m:t>
                  </m:r>
                </m:e>
                <m:sub>
                  <m:r>
                    <w:rPr>
                      <w:rFonts w:ascii="Cambria Math" w:hAnsi="Cambria Math" w:cstheme="minorHAnsi"/>
                      <w:sz w:val="22"/>
                    </w:rPr>
                    <m:t>is</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w</m:t>
                  </m:r>
                </m:e>
                <m:sub>
                  <m:r>
                    <w:rPr>
                      <w:rFonts w:ascii="Cambria Math" w:hAnsi="Cambria Math" w:cstheme="minorHAnsi"/>
                      <w:sz w:val="22"/>
                    </w:rPr>
                    <m:t>ijs</m:t>
                  </m:r>
                </m:sub>
              </m:sSub>
            </m:e>
          </m:nary>
        </m:oMath>
      </m:oMathPara>
    </w:p>
    <w:p w14:paraId="02A3C947" w14:textId="77777777" w:rsidR="00EE0738" w:rsidRPr="00B667C4" w:rsidRDefault="00EE0738" w:rsidP="00D34F45">
      <w:pPr>
        <w:spacing w:after="120"/>
        <w:rPr>
          <w:rFonts w:asciiTheme="minorHAnsi" w:hAnsiTheme="minorHAnsi" w:cstheme="minorHAnsi"/>
          <w:sz w:val="22"/>
        </w:rPr>
      </w:pPr>
      <w:r w:rsidRPr="00B667C4">
        <w:rPr>
          <w:rFonts w:asciiTheme="minorHAnsi" w:hAnsiTheme="minorHAnsi" w:cstheme="minorHAnsi"/>
          <w:sz w:val="22"/>
        </w:rPr>
        <w:t>The associated change in productivity (expressed in levels) implied by the estimated coefficients (</w:t>
      </w:r>
      <m:oMath>
        <m:r>
          <w:rPr>
            <w:rFonts w:ascii="Cambria Math" w:hAnsi="Cambria Math" w:cstheme="minorHAnsi"/>
            <w:sz w:val="22"/>
          </w:rPr>
          <m:t>β</m:t>
        </m:r>
      </m:oMath>
      <w:r w:rsidRPr="00B667C4">
        <w:rPr>
          <w:rFonts w:asciiTheme="minorHAnsi" w:hAnsiTheme="minorHAnsi" w:cstheme="minorHAnsi"/>
          <w:sz w:val="22"/>
        </w:rPr>
        <w:t xml:space="preserve"> and </w:t>
      </w:r>
      <m:oMath>
        <m:r>
          <w:rPr>
            <w:rFonts w:ascii="Cambria Math" w:hAnsi="Cambria Math" w:cstheme="minorHAnsi"/>
            <w:sz w:val="22"/>
          </w:rPr>
          <m:t>μ</m:t>
        </m:r>
      </m:oMath>
      <w:r w:rsidRPr="00B667C4">
        <w:rPr>
          <w:rFonts w:asciiTheme="minorHAnsi" w:hAnsiTheme="minorHAnsi" w:cstheme="minorHAnsi"/>
          <w:sz w:val="22"/>
        </w:rPr>
        <w:t>) can then be computed as follows:</w:t>
      </w:r>
    </w:p>
    <w:p w14:paraId="606D55E6" w14:textId="77777777" w:rsidR="00EE0738" w:rsidRPr="00B667C4" w:rsidRDefault="00EE0738" w:rsidP="00D34F45">
      <w:pPr>
        <w:spacing w:after="120"/>
        <w:rPr>
          <w:rFonts w:asciiTheme="minorHAnsi" w:hAnsiTheme="minorHAnsi" w:cstheme="minorHAnsi"/>
          <w:sz w:val="22"/>
        </w:rPr>
      </w:pPr>
      <m:oMathPara>
        <m:oMath>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Y</m:t>
              </m:r>
            </m:e>
            <m:sub>
              <m:r>
                <w:rPr>
                  <w:rFonts w:ascii="Cambria Math" w:hAnsi="Cambria Math" w:cstheme="minorHAnsi"/>
                  <w:sz w:val="22"/>
                </w:rPr>
                <m:t>ij</m:t>
              </m:r>
            </m:sub>
          </m:sSub>
          <m:r>
            <w:rPr>
              <w:rFonts w:ascii="Cambria Math" w:hAnsi="Cambria Math" w:cstheme="minorHAnsi"/>
              <w:sz w:val="22"/>
            </w:rPr>
            <m:t>=100×(β+μ×</m:t>
          </m:r>
          <m:sSub>
            <m:sSubPr>
              <m:ctrlPr>
                <w:rPr>
                  <w:rFonts w:ascii="Cambria Math" w:hAnsi="Cambria Math" w:cstheme="minorHAnsi"/>
                  <w:i/>
                  <w:sz w:val="22"/>
                </w:rPr>
              </m:ctrlPr>
            </m:sSubPr>
            <m:e>
              <m:r>
                <w:rPr>
                  <w:rFonts w:ascii="Cambria Math" w:hAnsi="Cambria Math" w:cstheme="minorHAnsi"/>
                  <w:sz w:val="22"/>
                </w:rPr>
                <m:t>IC</m:t>
              </m:r>
            </m:e>
            <m:sub>
              <m:r>
                <w:rPr>
                  <w:rFonts w:ascii="Cambria Math" w:hAnsi="Cambria Math" w:cstheme="minorHAnsi"/>
                  <w:sz w:val="22"/>
                </w:rPr>
                <m:t>i</m:t>
              </m:r>
            </m:sub>
          </m:sSub>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CSTRI</m:t>
              </m:r>
            </m:e>
            <m:sub>
              <m:r>
                <w:rPr>
                  <w:rFonts w:ascii="Cambria Math" w:hAnsi="Cambria Math" w:cstheme="minorHAnsi"/>
                  <w:sz w:val="22"/>
                </w:rPr>
                <m:t>ij</m:t>
              </m:r>
            </m:sub>
          </m:sSub>
        </m:oMath>
      </m:oMathPara>
    </w:p>
    <w:p w14:paraId="23B0C4F0" w14:textId="154C2744" w:rsidR="0017279E" w:rsidRPr="00B667C4" w:rsidRDefault="00EE0738" w:rsidP="00D34F45">
      <w:pPr>
        <w:spacing w:after="120"/>
        <w:rPr>
          <w:rFonts w:asciiTheme="minorHAnsi" w:hAnsiTheme="minorHAnsi" w:cstheme="minorHAnsi"/>
          <w:sz w:val="22"/>
        </w:rPr>
      </w:pPr>
      <w:r w:rsidRPr="00B667C4">
        <w:rPr>
          <w:rFonts w:asciiTheme="minorHAnsi" w:hAnsiTheme="minorHAnsi" w:cstheme="minorHAnsi"/>
          <w:sz w:val="22"/>
        </w:rPr>
        <w:t xml:space="preserve">This expression is country-sector specific. The productivity effect of services trade policy is a function of services input intensities at the downstream sector level and two country-level variables. The first is the policy change required to reach complete openness; the second is the quality of economic governance. This methodology permits counterfactual quantification of the effects of trade policy for country </w:t>
      </w:r>
      <m:oMath>
        <m:r>
          <w:rPr>
            <w:rFonts w:ascii="Cambria Math" w:hAnsi="Cambria Math" w:cstheme="minorHAnsi"/>
            <w:sz w:val="22"/>
          </w:rPr>
          <m:t>i</m:t>
        </m:r>
      </m:oMath>
      <w:r w:rsidRPr="00B667C4">
        <w:rPr>
          <w:rFonts w:asciiTheme="minorHAnsi" w:hAnsiTheme="minorHAnsi" w:cstheme="minorHAnsi"/>
          <w:sz w:val="22"/>
        </w:rPr>
        <w:t xml:space="preserve"> assuming the level of economic governance of a benchmark country, </w:t>
      </w:r>
      <m:oMath>
        <m:r>
          <w:rPr>
            <w:rFonts w:ascii="Cambria Math" w:hAnsi="Cambria Math" w:cstheme="minorHAnsi"/>
            <w:sz w:val="22"/>
          </w:rPr>
          <m:t>b</m:t>
        </m:r>
      </m:oMath>
      <w:r w:rsidRPr="00B667C4">
        <w:rPr>
          <w:rFonts w:asciiTheme="minorHAnsi" w:hAnsiTheme="minorHAnsi" w:cstheme="minorHAnsi"/>
          <w:sz w:val="22"/>
        </w:rPr>
        <w:t>.</w:t>
      </w:r>
    </w:p>
    <w:sectPr w:rsidR="0017279E" w:rsidRPr="00B667C4" w:rsidSect="00E94698">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6BA4" w14:textId="77777777" w:rsidR="00ED230E" w:rsidRDefault="00ED230E" w:rsidP="005B0DEA">
      <w:r>
        <w:separator/>
      </w:r>
    </w:p>
  </w:endnote>
  <w:endnote w:type="continuationSeparator" w:id="0">
    <w:p w14:paraId="13BFA00B" w14:textId="77777777" w:rsidR="00ED230E" w:rsidRDefault="00ED230E" w:rsidP="005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ITC Avant Garde Gothic Demi">
    <w:altName w:val="ITC Avant Garde Gothic Demi"/>
    <w:panose1 w:val="00000000000000000000"/>
    <w:charset w:val="00"/>
    <w:family w:val="swiss"/>
    <w:notTrueType/>
    <w:pitch w:val="default"/>
    <w:sig w:usb0="00000003" w:usb1="00000000" w:usb2="00000000" w:usb3="00000000" w:csb0="00000001" w:csb1="00000000"/>
  </w:font>
  <w:font w:name="NordlingBQ">
    <w:altName w:val="NordlingBQ"/>
    <w:panose1 w:val="00000000000000000000"/>
    <w:charset w:val="00"/>
    <w:family w:val="roman"/>
    <w:notTrueType/>
    <w:pitch w:val="default"/>
    <w:sig w:usb0="00000003" w:usb1="00000000" w:usb2="00000000" w:usb3="00000000" w:csb0="00000001" w:csb1="00000000"/>
  </w:font>
  <w:font w:name="Akzidenz-Grotesk BQ">
    <w:altName w:val="Akzidenz-Grotesk BQ"/>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Gungsuh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F616" w14:textId="77777777" w:rsidR="00B667C4" w:rsidRPr="006F22DF" w:rsidRDefault="00B667C4" w:rsidP="006F22D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85C5" w14:textId="553002AA" w:rsidR="00B667C4" w:rsidRDefault="00B667C4">
    <w:pPr>
      <w:pStyle w:val="Footer"/>
      <w:jc w:val="center"/>
    </w:pPr>
    <w:r>
      <w:fldChar w:fldCharType="begin"/>
    </w:r>
    <w:r>
      <w:instrText xml:space="preserve"> PAGE   \* MERGEFORMAT </w:instrText>
    </w:r>
    <w:r>
      <w:fldChar w:fldCharType="separate"/>
    </w:r>
    <w:r w:rsidR="002D4DF0">
      <w:rPr>
        <w:noProof/>
      </w:rPr>
      <w:t>23</w:t>
    </w:r>
    <w:r>
      <w:rPr>
        <w:noProof/>
      </w:rPr>
      <w:fldChar w:fldCharType="end"/>
    </w:r>
  </w:p>
  <w:p w14:paraId="12E4A518" w14:textId="77777777" w:rsidR="00B667C4" w:rsidRPr="006F22DF" w:rsidRDefault="00B667C4" w:rsidP="006F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883A3" w14:textId="77777777" w:rsidR="00ED230E" w:rsidRDefault="00ED230E" w:rsidP="005B0DEA">
      <w:r>
        <w:separator/>
      </w:r>
    </w:p>
  </w:footnote>
  <w:footnote w:type="continuationSeparator" w:id="0">
    <w:p w14:paraId="2C76C798" w14:textId="77777777" w:rsidR="00ED230E" w:rsidRDefault="00ED230E" w:rsidP="005B0DEA">
      <w:r>
        <w:continuationSeparator/>
      </w:r>
    </w:p>
  </w:footnote>
  <w:footnote w:id="1">
    <w:p w14:paraId="0C48A9CF" w14:textId="7D8B327E"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w:t>
      </w:r>
      <w:r w:rsidRPr="006756F1">
        <w:rPr>
          <w:rFonts w:asciiTheme="minorHAnsi" w:hAnsiTheme="minorHAnsi" w:cstheme="minorHAnsi"/>
          <w:color w:val="000000"/>
          <w:sz w:val="20"/>
          <w:szCs w:val="20"/>
        </w:rPr>
        <w:t>Between the late 1990s and 2013 the share of the African continent as a whole in world exports increased by one percentage point to reach 3.4 percent in 2013, falling back to 2.4 percent in 2015 (WTO, 2016).</w:t>
      </w:r>
    </w:p>
  </w:footnote>
  <w:footnote w:id="2">
    <w:p w14:paraId="3A38D37A" w14:textId="7F5E538A"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lang w:val="en-US"/>
        </w:rPr>
        <w:footnoteRef/>
      </w:r>
      <w:r w:rsidRPr="006756F1">
        <w:rPr>
          <w:rFonts w:asciiTheme="minorHAnsi" w:hAnsiTheme="minorHAnsi" w:cstheme="minorHAnsi"/>
          <w:sz w:val="20"/>
          <w:szCs w:val="20"/>
          <w:lang w:val="en-US"/>
        </w:rPr>
        <w:t xml:space="preserve"> The statistics in this paragraph are from WTO (2015).</w:t>
      </w:r>
    </w:p>
  </w:footnote>
  <w:footnote w:id="3">
    <w:p w14:paraId="52B9B6DF" w14:textId="19468FCB"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The potential of trade to increase per capita incomes and reduce the incidence of poverty is demonstrated by the experience of Asian countries. According to the World Bank Development Indicators database countries in East Asia have increased average per capita real incomes by 700 percent since the early 1980s.</w:t>
      </w:r>
    </w:p>
  </w:footnote>
  <w:footnote w:id="4">
    <w:p w14:paraId="25A3CD9D" w14:textId="77777777" w:rsidR="00B667C4" w:rsidRPr="006756F1" w:rsidRDefault="00B667C4" w:rsidP="00CD04F1">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lang w:val="en-US"/>
        </w:rPr>
        <w:footnoteRef/>
      </w:r>
      <w:r w:rsidRPr="006756F1">
        <w:rPr>
          <w:rFonts w:asciiTheme="minorHAnsi" w:hAnsiTheme="minorHAnsi" w:cstheme="minorHAnsi"/>
          <w:sz w:val="20"/>
          <w:szCs w:val="20"/>
          <w:lang w:val="en-US"/>
        </w:rPr>
        <w:t xml:space="preserve"> See, e.g., Iwanow and Kirkpatrick (2009), Persson (2013), Hoekman and Nicita (2011), Spence and Karingi (2011), Saslavsky and Shepherd (2014) and Zaki (2015).</w:t>
      </w:r>
    </w:p>
  </w:footnote>
  <w:footnote w:id="5">
    <w:p w14:paraId="7E3DDB41" w14:textId="0A2981FE"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These issues are discussed at greater length in Hoekman (2016). A 2014 global Trade Facilitation Support Program managed by the World Bank brings together support from 7 bilateral donors and 8 international organizations, including the ITC, UNCTAD, the World Customs Organization, Inter-American Development Bank and the Asian Development Bank in an effort to ensure better coordination of support to developing economies in implementing the TFA. This program does not include participation by major Africa-focused agencies such as the UNECA and the AfDB. See </w:t>
      </w:r>
      <w:hyperlink r:id="rId1" w:anchor="2" w:history="1">
        <w:r w:rsidRPr="006756F1">
          <w:rPr>
            <w:rStyle w:val="Hyperlink"/>
            <w:rFonts w:asciiTheme="minorHAnsi" w:hAnsiTheme="minorHAnsi" w:cstheme="minorHAnsi"/>
            <w:sz w:val="20"/>
            <w:szCs w:val="20"/>
          </w:rPr>
          <w:t>http://www.worldbank.org/en/programs/trade-facilitation-support-program#2</w:t>
        </w:r>
      </w:hyperlink>
      <w:r w:rsidRPr="006756F1">
        <w:rPr>
          <w:rFonts w:asciiTheme="minorHAnsi" w:hAnsiTheme="minorHAnsi" w:cstheme="minorHAnsi"/>
          <w:sz w:val="20"/>
          <w:szCs w:val="20"/>
        </w:rPr>
        <w:t xml:space="preserve">. </w:t>
      </w:r>
    </w:p>
  </w:footnote>
  <w:footnote w:id="6">
    <w:p w14:paraId="6FFC058F" w14:textId="4CFBDC5E"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See </w:t>
      </w:r>
      <w:hyperlink r:id="rId2" w:history="1">
        <w:r w:rsidRPr="006756F1">
          <w:rPr>
            <w:rStyle w:val="Hyperlink"/>
            <w:rFonts w:asciiTheme="minorHAnsi" w:hAnsiTheme="minorHAnsi" w:cstheme="minorHAnsi"/>
            <w:sz w:val="20"/>
            <w:szCs w:val="20"/>
            <w:shd w:val="clear" w:color="auto" w:fill="FFFFFF"/>
          </w:rPr>
          <w:t>www.afdb.org/africa50</w:t>
        </w:r>
      </w:hyperlink>
      <w:r w:rsidRPr="006756F1">
        <w:rPr>
          <w:rFonts w:asciiTheme="minorHAnsi" w:eastAsia="Times New Roman" w:hAnsiTheme="minorHAnsi" w:cstheme="minorHAnsi"/>
          <w:color w:val="333333"/>
          <w:sz w:val="20"/>
          <w:szCs w:val="20"/>
        </w:rPr>
        <w:t>.</w:t>
      </w:r>
    </w:p>
  </w:footnote>
  <w:footnote w:id="7">
    <w:p w14:paraId="4FD0C74D" w14:textId="6011755C" w:rsidR="00B667C4" w:rsidRPr="006756F1" w:rsidRDefault="00B667C4" w:rsidP="00FD3788">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Results for specific countries provide a sense of how variation in STRIs impacts on trade performance. </w:t>
      </w:r>
      <w:r w:rsidR="00BF1340" w:rsidRPr="006756F1">
        <w:rPr>
          <w:rFonts w:asciiTheme="minorHAnsi" w:hAnsiTheme="minorHAnsi" w:cstheme="minorHAnsi"/>
          <w:sz w:val="20"/>
          <w:szCs w:val="20"/>
        </w:rPr>
        <w:t>F</w:t>
      </w:r>
      <w:r w:rsidRPr="006756F1">
        <w:rPr>
          <w:rFonts w:asciiTheme="minorHAnsi" w:hAnsiTheme="minorHAnsi" w:cstheme="minorHAnsi"/>
          <w:sz w:val="20"/>
          <w:szCs w:val="20"/>
        </w:rPr>
        <w:t xml:space="preserve">our EAC member countries have an average services trade restriction score that is 25 or higher. The most restrictive is Uganda (an index of 35), followed by Tanzania and Kenya (with indices averaging around 30). The Hoekman-Shepherd analysis suggests that if the EAC as a group </w:t>
      </w:r>
      <w:r w:rsidR="006756F1" w:rsidRPr="006756F1">
        <w:rPr>
          <w:rFonts w:asciiTheme="minorHAnsi" w:hAnsiTheme="minorHAnsi" w:cstheme="minorHAnsi"/>
          <w:sz w:val="20"/>
          <w:szCs w:val="20"/>
        </w:rPr>
        <w:t xml:space="preserve">reduced </w:t>
      </w:r>
      <w:r w:rsidRPr="006756F1">
        <w:rPr>
          <w:rFonts w:asciiTheme="minorHAnsi" w:hAnsiTheme="minorHAnsi" w:cstheme="minorHAnsi"/>
          <w:sz w:val="20"/>
          <w:szCs w:val="20"/>
        </w:rPr>
        <w:t>the average level of services trade restrictions to that in Ghana (the African country with the lowest services trade barriers, with an index of 18), merch</w:t>
      </w:r>
      <w:r w:rsidR="006756F1" w:rsidRPr="006756F1">
        <w:rPr>
          <w:rFonts w:asciiTheme="minorHAnsi" w:hAnsiTheme="minorHAnsi" w:cstheme="minorHAnsi"/>
          <w:sz w:val="20"/>
          <w:szCs w:val="20"/>
        </w:rPr>
        <w:t xml:space="preserve">andise exports of </w:t>
      </w:r>
      <w:r w:rsidRPr="006756F1">
        <w:rPr>
          <w:rFonts w:asciiTheme="minorHAnsi" w:hAnsiTheme="minorHAnsi" w:cstheme="minorHAnsi"/>
          <w:sz w:val="20"/>
          <w:szCs w:val="20"/>
        </w:rPr>
        <w:t>Kenya, Tanzania and Uganda</w:t>
      </w:r>
      <w:r w:rsidR="006756F1" w:rsidRPr="006756F1">
        <w:rPr>
          <w:rFonts w:asciiTheme="minorHAnsi" w:hAnsiTheme="minorHAnsi" w:cstheme="minorHAnsi"/>
          <w:sz w:val="20"/>
          <w:szCs w:val="20"/>
        </w:rPr>
        <w:t xml:space="preserve"> would rise by some 20 percent</w:t>
      </w:r>
      <w:r w:rsidRPr="006756F1">
        <w:rPr>
          <w:rFonts w:asciiTheme="minorHAnsi" w:hAnsiTheme="minorHAnsi" w:cstheme="minorHAnsi"/>
          <w:sz w:val="20"/>
          <w:szCs w:val="20"/>
        </w:rPr>
        <w:t>.</w:t>
      </w:r>
    </w:p>
  </w:footnote>
  <w:footnote w:id="8">
    <w:p w14:paraId="6A477E3F" w14:textId="40F42E22" w:rsidR="00B667C4" w:rsidRPr="006756F1" w:rsidRDefault="00B667C4" w:rsidP="006C322A">
      <w:pPr>
        <w:pStyle w:val="FootnoteText"/>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w:t>
      </w:r>
      <w:r w:rsidRPr="006756F1">
        <w:rPr>
          <w:rFonts w:asciiTheme="minorHAnsi" w:hAnsiTheme="minorHAnsi" w:cstheme="minorHAnsi"/>
          <w:color w:val="000000"/>
          <w:sz w:val="20"/>
          <w:szCs w:val="20"/>
        </w:rPr>
        <w:t>Kunaka et al. (2016) document the importance of policies to facilitate the operation of trucking service providers in East Africa. See also Tanase et al. (2016).</w:t>
      </w:r>
    </w:p>
  </w:footnote>
  <w:footnote w:id="9">
    <w:p w14:paraId="3EB58D61" w14:textId="0500DF2D" w:rsidR="00B667C4" w:rsidRPr="006756F1" w:rsidRDefault="00B667C4" w:rsidP="006C322A">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See </w:t>
      </w:r>
      <w:hyperlink r:id="rId3" w:history="1">
        <w:r w:rsidRPr="006756F1">
          <w:rPr>
            <w:rStyle w:val="Hyperlink"/>
            <w:rFonts w:asciiTheme="minorHAnsi" w:eastAsiaTheme="minorHAnsi" w:hAnsiTheme="minorHAnsi" w:cstheme="minorHAnsi"/>
            <w:sz w:val="20"/>
            <w:szCs w:val="20"/>
          </w:rPr>
          <w:t>http://www.uneca.org/stories/call-arms-underlines-opening-africa-trade-facilitation-forum</w:t>
        </w:r>
      </w:hyperlink>
      <w:r w:rsidRPr="006756F1">
        <w:rPr>
          <w:rFonts w:asciiTheme="minorHAnsi" w:eastAsiaTheme="minorHAnsi" w:hAnsiTheme="minorHAnsi" w:cstheme="minorHAnsi"/>
          <w:sz w:val="20"/>
          <w:szCs w:val="20"/>
        </w:rPr>
        <w:t>.</w:t>
      </w:r>
    </w:p>
  </w:footnote>
  <w:footnote w:id="10">
    <w:p w14:paraId="6BE63E3C" w14:textId="6AF4A62A" w:rsidR="00B667C4" w:rsidRPr="006756F1" w:rsidRDefault="00B667C4" w:rsidP="00CC2A6D">
      <w:pPr>
        <w:pStyle w:val="FootnoteText"/>
        <w:adjustRightInd w:val="0"/>
        <w:snapToGrid w:val="0"/>
        <w:ind w:firstLine="0"/>
        <w:rPr>
          <w:rFonts w:asciiTheme="minorHAnsi" w:hAnsiTheme="minorHAnsi" w:cstheme="minorHAnsi"/>
          <w:sz w:val="20"/>
          <w:szCs w:val="20"/>
          <w:lang w:val="en-US"/>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w:t>
      </w:r>
      <w:r w:rsidR="008F3364">
        <w:rPr>
          <w:rFonts w:asciiTheme="minorHAnsi" w:hAnsiTheme="minorHAnsi" w:cstheme="minorHAnsi"/>
          <w:sz w:val="20"/>
          <w:szCs w:val="20"/>
          <w:lang w:val="en-US"/>
        </w:rPr>
        <w:t>See, however, Kirk (2015</w:t>
      </w:r>
      <w:r w:rsidRPr="006756F1">
        <w:rPr>
          <w:rFonts w:asciiTheme="minorHAnsi" w:hAnsiTheme="minorHAnsi" w:cstheme="minorHAnsi"/>
          <w:sz w:val="20"/>
          <w:szCs w:val="20"/>
          <w:lang w:val="en-US"/>
        </w:rPr>
        <w:t>) and Lui and Siziba (2012).</w:t>
      </w:r>
    </w:p>
  </w:footnote>
  <w:footnote w:id="11">
    <w:p w14:paraId="031DCC84" w14:textId="6588993B" w:rsidR="00B667C4" w:rsidRPr="006756F1" w:rsidRDefault="00B667C4" w:rsidP="00CC2A6D">
      <w:pPr>
        <w:pStyle w:val="FootnoteText"/>
        <w:adjustRightInd w:val="0"/>
        <w:snapToGrid w:val="0"/>
        <w:ind w:firstLine="0"/>
        <w:rPr>
          <w:rFonts w:asciiTheme="minorHAnsi" w:hAnsiTheme="minorHAnsi" w:cstheme="minorHAnsi"/>
          <w:sz w:val="20"/>
          <w:szCs w:val="20"/>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This Annex draws on Fiorini and Hoekman (2017).</w:t>
      </w:r>
    </w:p>
  </w:footnote>
  <w:footnote w:id="12">
    <w:p w14:paraId="5C60C802" w14:textId="753FB11A" w:rsidR="00B667C4" w:rsidRPr="006756F1" w:rsidRDefault="00B667C4" w:rsidP="00CC2A6D">
      <w:pPr>
        <w:pStyle w:val="FootnoteText"/>
        <w:adjustRightInd w:val="0"/>
        <w:snapToGrid w:val="0"/>
        <w:ind w:firstLine="0"/>
        <w:rPr>
          <w:rFonts w:asciiTheme="minorHAnsi" w:hAnsiTheme="minorHAnsi" w:cstheme="minorHAnsi"/>
          <w:sz w:val="20"/>
          <w:szCs w:val="20"/>
        </w:rPr>
      </w:pPr>
      <w:r w:rsidRPr="006756F1">
        <w:rPr>
          <w:rStyle w:val="FootnoteReference"/>
          <w:rFonts w:asciiTheme="minorHAnsi" w:hAnsiTheme="minorHAnsi" w:cstheme="minorHAnsi"/>
          <w:sz w:val="20"/>
          <w:szCs w:val="20"/>
        </w:rPr>
        <w:footnoteRef/>
      </w:r>
      <w:r w:rsidRPr="006756F1">
        <w:rPr>
          <w:rStyle w:val="FootnoteReference"/>
          <w:rFonts w:asciiTheme="minorHAnsi" w:hAnsiTheme="minorHAnsi" w:cstheme="minorHAnsi"/>
          <w:sz w:val="20"/>
          <w:szCs w:val="20"/>
        </w:rPr>
        <w:t xml:space="preserve"> </w:t>
      </w:r>
      <w:r w:rsidRPr="006756F1">
        <w:rPr>
          <w:rFonts w:asciiTheme="minorHAnsi" w:hAnsiTheme="minorHAnsi" w:cstheme="minorHAnsi"/>
          <w:sz w:val="20"/>
          <w:szCs w:val="20"/>
        </w:rPr>
        <w:t xml:space="preserve">Input output weights are given by shares of intermediate consumption. Beverelli et al. (2016) show that the estimation results are robust to the use of technical coefficients and that the coefficient estimates do not change substantially if the input-output table of China is used. </w:t>
      </w:r>
    </w:p>
  </w:footnote>
  <w:footnote w:id="13">
    <w:p w14:paraId="07E5E01A" w14:textId="74FECC44" w:rsidR="00B667C4" w:rsidRPr="006756F1" w:rsidRDefault="00B667C4" w:rsidP="00CC2A6D">
      <w:pPr>
        <w:pStyle w:val="FootnoteText"/>
        <w:adjustRightInd w:val="0"/>
        <w:snapToGrid w:val="0"/>
        <w:ind w:firstLine="0"/>
        <w:rPr>
          <w:rFonts w:asciiTheme="minorHAnsi" w:hAnsiTheme="minorHAnsi" w:cstheme="minorHAnsi"/>
          <w:sz w:val="20"/>
          <w:szCs w:val="20"/>
        </w:rPr>
      </w:pPr>
      <w:r w:rsidRPr="006756F1">
        <w:rPr>
          <w:rStyle w:val="FootnoteReference"/>
          <w:rFonts w:asciiTheme="minorHAnsi" w:hAnsiTheme="minorHAnsi" w:cstheme="minorHAnsi"/>
          <w:sz w:val="20"/>
          <w:szCs w:val="20"/>
        </w:rPr>
        <w:footnoteRef/>
      </w:r>
      <w:r w:rsidRPr="006756F1">
        <w:rPr>
          <w:rFonts w:asciiTheme="minorHAnsi" w:hAnsiTheme="minorHAnsi" w:cstheme="minorHAnsi"/>
          <w:sz w:val="20"/>
          <w:szCs w:val="20"/>
        </w:rPr>
        <w:t xml:space="preserve"> Robustness checks in Beverelli et al. (2016) include instrumentation, random assignment of the policy component of CSTRI and alternative input-output weights and productivity measures.</w:t>
      </w:r>
    </w:p>
  </w:footnote>
  <w:footnote w:id="14">
    <w:p w14:paraId="18D30417" w14:textId="3C0FC1A3" w:rsidR="00B667C4" w:rsidRPr="006756F1" w:rsidRDefault="00B667C4" w:rsidP="00CC2A6D">
      <w:pPr>
        <w:pStyle w:val="FootnoteText"/>
        <w:adjustRightInd w:val="0"/>
        <w:snapToGrid w:val="0"/>
        <w:ind w:firstLine="0"/>
        <w:rPr>
          <w:rFonts w:asciiTheme="minorHAnsi" w:hAnsiTheme="minorHAnsi" w:cstheme="minorHAnsi"/>
          <w:sz w:val="20"/>
          <w:szCs w:val="20"/>
        </w:rPr>
      </w:pPr>
      <w:r w:rsidRPr="006756F1">
        <w:rPr>
          <w:rStyle w:val="FootnoteReference"/>
          <w:rFonts w:asciiTheme="minorHAnsi" w:hAnsiTheme="minorHAnsi" w:cstheme="minorHAnsi"/>
          <w:sz w:val="20"/>
          <w:szCs w:val="20"/>
        </w:rPr>
        <w:footnoteRef/>
      </w:r>
      <w:r w:rsidRPr="006756F1">
        <w:rPr>
          <w:rStyle w:val="FootnoteReference"/>
          <w:rFonts w:asciiTheme="minorHAnsi" w:hAnsiTheme="minorHAnsi" w:cstheme="minorHAnsi"/>
          <w:sz w:val="20"/>
          <w:szCs w:val="20"/>
        </w:rPr>
        <w:t xml:space="preserve"> </w:t>
      </w:r>
      <w:r w:rsidRPr="006756F1">
        <w:rPr>
          <w:rFonts w:asciiTheme="minorHAnsi" w:hAnsiTheme="minorHAnsi" w:cstheme="minorHAnsi"/>
          <w:sz w:val="20"/>
          <w:szCs w:val="20"/>
        </w:rPr>
        <w:t>The four services sectors are finance, transportation, communications and business services. See Borchert, Gootiiz and Mattoo (2014) for details on the sectoral classification used in the STRI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89A90" w14:textId="77777777" w:rsidR="00B667C4" w:rsidRPr="006F22DF" w:rsidRDefault="00B667C4" w:rsidP="006F22DF">
    <w:pPr>
      <w:pStyle w:val="Header"/>
      <w:pBdr>
        <w:bottom w:val="single" w:sz="4" w:space="1" w:color="auto"/>
      </w:pBdr>
      <w:tabs>
        <w:tab w:val="clear" w:pos="4513"/>
        <w:tab w:val="clear" w:pos="9027"/>
      </w:tabs>
      <w:jc w:val="center"/>
    </w:pPr>
    <w:r w:rsidRPr="006F22DF">
      <w:t xml:space="preserve"> </w:t>
    </w:r>
  </w:p>
  <w:p w14:paraId="2F1E6ACB" w14:textId="77777777" w:rsidR="00B667C4" w:rsidRPr="006F22DF" w:rsidRDefault="00B667C4" w:rsidP="006F22DF">
    <w:pPr>
      <w:pStyle w:val="Header"/>
      <w:pBdr>
        <w:bottom w:val="single" w:sz="4" w:space="1" w:color="auto"/>
      </w:pBdr>
      <w:tabs>
        <w:tab w:val="clear" w:pos="4513"/>
        <w:tab w:val="clear" w:pos="9027"/>
      </w:tabs>
      <w:jc w:val="center"/>
    </w:pPr>
  </w:p>
  <w:p w14:paraId="3CF3B77A" w14:textId="77777777" w:rsidR="00B667C4" w:rsidRPr="006F22DF" w:rsidRDefault="00B667C4" w:rsidP="006F22DF">
    <w:pPr>
      <w:pStyle w:val="Header"/>
      <w:pBdr>
        <w:bottom w:val="single" w:sz="4" w:space="1" w:color="auto"/>
      </w:pBdr>
      <w:tabs>
        <w:tab w:val="clear" w:pos="4513"/>
        <w:tab w:val="clear" w:pos="9027"/>
      </w:tabs>
      <w:jc w:val="center"/>
    </w:pPr>
    <w:r w:rsidRPr="006F22DF">
      <w:t xml:space="preserve">- </w:t>
    </w:r>
    <w:r w:rsidRPr="006F22DF">
      <w:fldChar w:fldCharType="begin"/>
    </w:r>
    <w:r w:rsidRPr="006F22DF">
      <w:instrText xml:space="preserve"> PAGE </w:instrText>
    </w:r>
    <w:r w:rsidRPr="006F22DF">
      <w:fldChar w:fldCharType="separate"/>
    </w:r>
    <w:r w:rsidRPr="006F22DF">
      <w:rPr>
        <w:noProof/>
      </w:rPr>
      <w:t>2</w:t>
    </w:r>
    <w:r w:rsidRPr="006F22DF">
      <w:fldChar w:fldCharType="end"/>
    </w:r>
    <w:r w:rsidRPr="006F22DF">
      <w:t xml:space="preserve"> -</w:t>
    </w:r>
  </w:p>
  <w:p w14:paraId="6CD292F7" w14:textId="77777777" w:rsidR="00B667C4" w:rsidRPr="006F22DF" w:rsidRDefault="00B667C4" w:rsidP="006F22D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632"/>
      <w:gridCol w:w="2449"/>
      <w:gridCol w:w="2711"/>
      <w:gridCol w:w="2568"/>
    </w:tblGrid>
    <w:tr w:rsidR="00B667C4" w:rsidRPr="00EA1776" w14:paraId="40476B14" w14:textId="77777777" w:rsidTr="00E81655">
      <w:trPr>
        <w:trHeight w:val="643"/>
      </w:trPr>
      <w:tc>
        <w:tcPr>
          <w:tcW w:w="872" w:type="pct"/>
        </w:tcPr>
        <w:p w14:paraId="1BAF610B" w14:textId="77777777" w:rsidR="00B667C4" w:rsidRPr="00EA1776" w:rsidRDefault="00B667C4" w:rsidP="00E81655">
          <w:pPr>
            <w:tabs>
              <w:tab w:val="left" w:pos="567"/>
            </w:tabs>
            <w:jc w:val="left"/>
            <w:rPr>
              <w:rFonts w:ascii="Eras Medium ITC" w:hAnsi="Eras Medium ITC"/>
              <w:sz w:val="22"/>
            </w:rPr>
          </w:pPr>
        </w:p>
      </w:tc>
      <w:tc>
        <w:tcPr>
          <w:tcW w:w="1308" w:type="pct"/>
          <w:shd w:val="clear" w:color="auto" w:fill="auto"/>
        </w:tcPr>
        <w:p w14:paraId="322A9F04" w14:textId="77777777" w:rsidR="00B667C4" w:rsidRPr="00EA1776" w:rsidRDefault="00B667C4" w:rsidP="00E81655">
          <w:pPr>
            <w:tabs>
              <w:tab w:val="left" w:pos="567"/>
            </w:tabs>
            <w:jc w:val="center"/>
            <w:rPr>
              <w:rFonts w:ascii="Eras Medium ITC" w:hAnsi="Eras Medium ITC"/>
              <w:sz w:val="22"/>
            </w:rPr>
          </w:pPr>
        </w:p>
      </w:tc>
      <w:tc>
        <w:tcPr>
          <w:tcW w:w="1448" w:type="pct"/>
          <w:shd w:val="clear" w:color="auto" w:fill="auto"/>
        </w:tcPr>
        <w:p w14:paraId="282322E3" w14:textId="77777777" w:rsidR="00B667C4" w:rsidRPr="00F82AAA" w:rsidRDefault="00B667C4" w:rsidP="00E81655">
          <w:pPr>
            <w:tabs>
              <w:tab w:val="left" w:pos="567"/>
            </w:tabs>
            <w:jc w:val="center"/>
            <w:rPr>
              <w:rFonts w:ascii="Eras Medium ITC" w:eastAsia="Times New Roman" w:hAnsi="Eras Medium ITC"/>
              <w:b/>
              <w:caps/>
              <w:kern w:val="28"/>
              <w:sz w:val="22"/>
            </w:rPr>
          </w:pPr>
        </w:p>
      </w:tc>
      <w:tc>
        <w:tcPr>
          <w:tcW w:w="1372" w:type="pct"/>
          <w:shd w:val="clear" w:color="auto" w:fill="auto"/>
        </w:tcPr>
        <w:p w14:paraId="66FE2E69" w14:textId="77777777" w:rsidR="00B667C4" w:rsidRPr="00EA1776" w:rsidRDefault="00B667C4" w:rsidP="00E81655">
          <w:pPr>
            <w:tabs>
              <w:tab w:val="left" w:pos="567"/>
            </w:tabs>
            <w:jc w:val="center"/>
            <w:rPr>
              <w:rFonts w:ascii="Eras Medium ITC" w:hAnsi="Eras Medium ITC"/>
              <w:sz w:val="22"/>
            </w:rPr>
          </w:pPr>
        </w:p>
      </w:tc>
    </w:tr>
  </w:tbl>
  <w:p w14:paraId="0EE3BE8D" w14:textId="77777777" w:rsidR="00B667C4" w:rsidRDefault="00B6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5" w15:restartNumberingAfterBreak="0">
    <w:nsid w:val="038B2003"/>
    <w:multiLevelType w:val="hybridMultilevel"/>
    <w:tmpl w:val="B4A6D0EA"/>
    <w:lvl w:ilvl="0" w:tplc="0409000F">
      <w:start w:val="1"/>
      <w:numFmt w:val="decimal"/>
      <w:lvlText w:val="%1."/>
      <w:lvlJc w:val="left"/>
      <w:pPr>
        <w:ind w:left="720" w:hanging="360"/>
      </w:pPr>
    </w:lvl>
    <w:lvl w:ilvl="1" w:tplc="3292830E">
      <w:start w:val="1"/>
      <w:numFmt w:val="decimal"/>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44AE6"/>
    <w:multiLevelType w:val="hybridMultilevel"/>
    <w:tmpl w:val="26C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F09DB"/>
    <w:multiLevelType w:val="hybridMultilevel"/>
    <w:tmpl w:val="F1A4AE02"/>
    <w:lvl w:ilvl="0" w:tplc="0974F0A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E2D027A"/>
    <w:multiLevelType w:val="hybridMultilevel"/>
    <w:tmpl w:val="732861DC"/>
    <w:lvl w:ilvl="0" w:tplc="CCE87E1A">
      <w:start w:val="1"/>
      <w:numFmt w:val="bullet"/>
      <w:lvlText w:val="•"/>
      <w:lvlJc w:val="left"/>
      <w:pPr>
        <w:tabs>
          <w:tab w:val="num" w:pos="720"/>
        </w:tabs>
        <w:ind w:left="720" w:hanging="360"/>
      </w:pPr>
      <w:rPr>
        <w:rFonts w:ascii="Arial" w:hAnsi="Arial" w:hint="default"/>
      </w:rPr>
    </w:lvl>
    <w:lvl w:ilvl="1" w:tplc="30E41524">
      <w:start w:val="496"/>
      <w:numFmt w:val="bullet"/>
      <w:lvlText w:val="•"/>
      <w:lvlJc w:val="left"/>
      <w:pPr>
        <w:tabs>
          <w:tab w:val="num" w:pos="1440"/>
        </w:tabs>
        <w:ind w:left="1440" w:hanging="360"/>
      </w:pPr>
      <w:rPr>
        <w:rFonts w:ascii="Arial" w:hAnsi="Arial" w:hint="default"/>
      </w:rPr>
    </w:lvl>
    <w:lvl w:ilvl="2" w:tplc="5890E3B8" w:tentative="1">
      <w:start w:val="1"/>
      <w:numFmt w:val="bullet"/>
      <w:lvlText w:val="•"/>
      <w:lvlJc w:val="left"/>
      <w:pPr>
        <w:tabs>
          <w:tab w:val="num" w:pos="2160"/>
        </w:tabs>
        <w:ind w:left="2160" w:hanging="360"/>
      </w:pPr>
      <w:rPr>
        <w:rFonts w:ascii="Arial" w:hAnsi="Arial" w:hint="default"/>
      </w:rPr>
    </w:lvl>
    <w:lvl w:ilvl="3" w:tplc="B896CA40" w:tentative="1">
      <w:start w:val="1"/>
      <w:numFmt w:val="bullet"/>
      <w:lvlText w:val="•"/>
      <w:lvlJc w:val="left"/>
      <w:pPr>
        <w:tabs>
          <w:tab w:val="num" w:pos="2880"/>
        </w:tabs>
        <w:ind w:left="2880" w:hanging="360"/>
      </w:pPr>
      <w:rPr>
        <w:rFonts w:ascii="Arial" w:hAnsi="Arial" w:hint="default"/>
      </w:rPr>
    </w:lvl>
    <w:lvl w:ilvl="4" w:tplc="94565648" w:tentative="1">
      <w:start w:val="1"/>
      <w:numFmt w:val="bullet"/>
      <w:lvlText w:val="•"/>
      <w:lvlJc w:val="left"/>
      <w:pPr>
        <w:tabs>
          <w:tab w:val="num" w:pos="3600"/>
        </w:tabs>
        <w:ind w:left="3600" w:hanging="360"/>
      </w:pPr>
      <w:rPr>
        <w:rFonts w:ascii="Arial" w:hAnsi="Arial" w:hint="default"/>
      </w:rPr>
    </w:lvl>
    <w:lvl w:ilvl="5" w:tplc="7BC49684" w:tentative="1">
      <w:start w:val="1"/>
      <w:numFmt w:val="bullet"/>
      <w:lvlText w:val="•"/>
      <w:lvlJc w:val="left"/>
      <w:pPr>
        <w:tabs>
          <w:tab w:val="num" w:pos="4320"/>
        </w:tabs>
        <w:ind w:left="4320" w:hanging="360"/>
      </w:pPr>
      <w:rPr>
        <w:rFonts w:ascii="Arial" w:hAnsi="Arial" w:hint="default"/>
      </w:rPr>
    </w:lvl>
    <w:lvl w:ilvl="6" w:tplc="BF5A850C" w:tentative="1">
      <w:start w:val="1"/>
      <w:numFmt w:val="bullet"/>
      <w:lvlText w:val="•"/>
      <w:lvlJc w:val="left"/>
      <w:pPr>
        <w:tabs>
          <w:tab w:val="num" w:pos="5040"/>
        </w:tabs>
        <w:ind w:left="5040" w:hanging="360"/>
      </w:pPr>
      <w:rPr>
        <w:rFonts w:ascii="Arial" w:hAnsi="Arial" w:hint="default"/>
      </w:rPr>
    </w:lvl>
    <w:lvl w:ilvl="7" w:tplc="A10E3AF6" w:tentative="1">
      <w:start w:val="1"/>
      <w:numFmt w:val="bullet"/>
      <w:lvlText w:val="•"/>
      <w:lvlJc w:val="left"/>
      <w:pPr>
        <w:tabs>
          <w:tab w:val="num" w:pos="5760"/>
        </w:tabs>
        <w:ind w:left="5760" w:hanging="360"/>
      </w:pPr>
      <w:rPr>
        <w:rFonts w:ascii="Arial" w:hAnsi="Arial" w:hint="default"/>
      </w:rPr>
    </w:lvl>
    <w:lvl w:ilvl="8" w:tplc="6B5044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FE1601"/>
    <w:multiLevelType w:val="hybridMultilevel"/>
    <w:tmpl w:val="A30EE79E"/>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0" w15:restartNumberingAfterBreak="0">
    <w:nsid w:val="1C0D5FB2"/>
    <w:multiLevelType w:val="hybridMultilevel"/>
    <w:tmpl w:val="F34C69EE"/>
    <w:lvl w:ilvl="0" w:tplc="31166272">
      <w:start w:val="1"/>
      <w:numFmt w:val="bullet"/>
      <w:lvlText w:val="•"/>
      <w:lvlJc w:val="left"/>
      <w:pPr>
        <w:tabs>
          <w:tab w:val="num" w:pos="720"/>
        </w:tabs>
        <w:ind w:left="720" w:hanging="360"/>
      </w:pPr>
      <w:rPr>
        <w:rFonts w:ascii="Arial" w:hAnsi="Arial" w:hint="default"/>
      </w:rPr>
    </w:lvl>
    <w:lvl w:ilvl="1" w:tplc="3E522864">
      <w:start w:val="1"/>
      <w:numFmt w:val="bullet"/>
      <w:lvlText w:val="•"/>
      <w:lvlJc w:val="left"/>
      <w:pPr>
        <w:tabs>
          <w:tab w:val="num" w:pos="1440"/>
        </w:tabs>
        <w:ind w:left="1440" w:hanging="360"/>
      </w:pPr>
      <w:rPr>
        <w:rFonts w:ascii="Arial" w:hAnsi="Arial" w:hint="default"/>
      </w:rPr>
    </w:lvl>
    <w:lvl w:ilvl="2" w:tplc="EFF89602">
      <w:start w:val="450"/>
      <w:numFmt w:val="bullet"/>
      <w:lvlText w:val="•"/>
      <w:lvlJc w:val="left"/>
      <w:pPr>
        <w:tabs>
          <w:tab w:val="num" w:pos="2160"/>
        </w:tabs>
        <w:ind w:left="2160" w:hanging="360"/>
      </w:pPr>
      <w:rPr>
        <w:rFonts w:ascii="Arial" w:hAnsi="Arial" w:hint="default"/>
      </w:rPr>
    </w:lvl>
    <w:lvl w:ilvl="3" w:tplc="5898386C" w:tentative="1">
      <w:start w:val="1"/>
      <w:numFmt w:val="bullet"/>
      <w:lvlText w:val="•"/>
      <w:lvlJc w:val="left"/>
      <w:pPr>
        <w:tabs>
          <w:tab w:val="num" w:pos="2880"/>
        </w:tabs>
        <w:ind w:left="2880" w:hanging="360"/>
      </w:pPr>
      <w:rPr>
        <w:rFonts w:ascii="Arial" w:hAnsi="Arial" w:hint="default"/>
      </w:rPr>
    </w:lvl>
    <w:lvl w:ilvl="4" w:tplc="0BBC934C" w:tentative="1">
      <w:start w:val="1"/>
      <w:numFmt w:val="bullet"/>
      <w:lvlText w:val="•"/>
      <w:lvlJc w:val="left"/>
      <w:pPr>
        <w:tabs>
          <w:tab w:val="num" w:pos="3600"/>
        </w:tabs>
        <w:ind w:left="3600" w:hanging="360"/>
      </w:pPr>
      <w:rPr>
        <w:rFonts w:ascii="Arial" w:hAnsi="Arial" w:hint="default"/>
      </w:rPr>
    </w:lvl>
    <w:lvl w:ilvl="5" w:tplc="30D6EF50" w:tentative="1">
      <w:start w:val="1"/>
      <w:numFmt w:val="bullet"/>
      <w:lvlText w:val="•"/>
      <w:lvlJc w:val="left"/>
      <w:pPr>
        <w:tabs>
          <w:tab w:val="num" w:pos="4320"/>
        </w:tabs>
        <w:ind w:left="4320" w:hanging="360"/>
      </w:pPr>
      <w:rPr>
        <w:rFonts w:ascii="Arial" w:hAnsi="Arial" w:hint="default"/>
      </w:rPr>
    </w:lvl>
    <w:lvl w:ilvl="6" w:tplc="77FEE9BC" w:tentative="1">
      <w:start w:val="1"/>
      <w:numFmt w:val="bullet"/>
      <w:lvlText w:val="•"/>
      <w:lvlJc w:val="left"/>
      <w:pPr>
        <w:tabs>
          <w:tab w:val="num" w:pos="5040"/>
        </w:tabs>
        <w:ind w:left="5040" w:hanging="360"/>
      </w:pPr>
      <w:rPr>
        <w:rFonts w:ascii="Arial" w:hAnsi="Arial" w:hint="default"/>
      </w:rPr>
    </w:lvl>
    <w:lvl w:ilvl="7" w:tplc="7B862C0A" w:tentative="1">
      <w:start w:val="1"/>
      <w:numFmt w:val="bullet"/>
      <w:lvlText w:val="•"/>
      <w:lvlJc w:val="left"/>
      <w:pPr>
        <w:tabs>
          <w:tab w:val="num" w:pos="5760"/>
        </w:tabs>
        <w:ind w:left="5760" w:hanging="360"/>
      </w:pPr>
      <w:rPr>
        <w:rFonts w:ascii="Arial" w:hAnsi="Arial" w:hint="default"/>
      </w:rPr>
    </w:lvl>
    <w:lvl w:ilvl="8" w:tplc="D168F7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1D1849"/>
    <w:multiLevelType w:val="hybridMultilevel"/>
    <w:tmpl w:val="CB7AC6F2"/>
    <w:lvl w:ilvl="0" w:tplc="C91606C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7166D"/>
    <w:multiLevelType w:val="hybridMultilevel"/>
    <w:tmpl w:val="070E06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B60E78"/>
    <w:multiLevelType w:val="hybridMultilevel"/>
    <w:tmpl w:val="A8F40AE0"/>
    <w:lvl w:ilvl="0" w:tplc="9C2CC5C2">
      <w:start w:val="1"/>
      <w:numFmt w:val="decimal"/>
      <w:lvlText w:val="%1."/>
      <w:lvlJc w:val="left"/>
      <w:pPr>
        <w:tabs>
          <w:tab w:val="num" w:pos="720"/>
        </w:tabs>
        <w:ind w:left="720" w:hanging="360"/>
      </w:pPr>
    </w:lvl>
    <w:lvl w:ilvl="1" w:tplc="2A46469C">
      <w:start w:val="1133"/>
      <w:numFmt w:val="bullet"/>
      <w:lvlText w:val="•"/>
      <w:lvlJc w:val="left"/>
      <w:pPr>
        <w:tabs>
          <w:tab w:val="num" w:pos="1440"/>
        </w:tabs>
        <w:ind w:left="1440" w:hanging="360"/>
      </w:pPr>
      <w:rPr>
        <w:rFonts w:ascii="Arial" w:hAnsi="Arial" w:hint="default"/>
      </w:rPr>
    </w:lvl>
    <w:lvl w:ilvl="2" w:tplc="469E8B34" w:tentative="1">
      <w:start w:val="1"/>
      <w:numFmt w:val="decimal"/>
      <w:lvlText w:val="%3."/>
      <w:lvlJc w:val="left"/>
      <w:pPr>
        <w:tabs>
          <w:tab w:val="num" w:pos="2160"/>
        </w:tabs>
        <w:ind w:left="2160" w:hanging="360"/>
      </w:pPr>
    </w:lvl>
    <w:lvl w:ilvl="3" w:tplc="DFFAFCCC" w:tentative="1">
      <w:start w:val="1"/>
      <w:numFmt w:val="decimal"/>
      <w:lvlText w:val="%4."/>
      <w:lvlJc w:val="left"/>
      <w:pPr>
        <w:tabs>
          <w:tab w:val="num" w:pos="2880"/>
        </w:tabs>
        <w:ind w:left="2880" w:hanging="360"/>
      </w:pPr>
    </w:lvl>
    <w:lvl w:ilvl="4" w:tplc="D5165008" w:tentative="1">
      <w:start w:val="1"/>
      <w:numFmt w:val="decimal"/>
      <w:lvlText w:val="%5."/>
      <w:lvlJc w:val="left"/>
      <w:pPr>
        <w:tabs>
          <w:tab w:val="num" w:pos="3600"/>
        </w:tabs>
        <w:ind w:left="3600" w:hanging="360"/>
      </w:pPr>
    </w:lvl>
    <w:lvl w:ilvl="5" w:tplc="D0C0CDD8" w:tentative="1">
      <w:start w:val="1"/>
      <w:numFmt w:val="decimal"/>
      <w:lvlText w:val="%6."/>
      <w:lvlJc w:val="left"/>
      <w:pPr>
        <w:tabs>
          <w:tab w:val="num" w:pos="4320"/>
        </w:tabs>
        <w:ind w:left="4320" w:hanging="360"/>
      </w:pPr>
    </w:lvl>
    <w:lvl w:ilvl="6" w:tplc="884E7DF4" w:tentative="1">
      <w:start w:val="1"/>
      <w:numFmt w:val="decimal"/>
      <w:lvlText w:val="%7."/>
      <w:lvlJc w:val="left"/>
      <w:pPr>
        <w:tabs>
          <w:tab w:val="num" w:pos="5040"/>
        </w:tabs>
        <w:ind w:left="5040" w:hanging="360"/>
      </w:pPr>
    </w:lvl>
    <w:lvl w:ilvl="7" w:tplc="7EF2A5DC" w:tentative="1">
      <w:start w:val="1"/>
      <w:numFmt w:val="decimal"/>
      <w:lvlText w:val="%8."/>
      <w:lvlJc w:val="left"/>
      <w:pPr>
        <w:tabs>
          <w:tab w:val="num" w:pos="5760"/>
        </w:tabs>
        <w:ind w:left="5760" w:hanging="360"/>
      </w:pPr>
    </w:lvl>
    <w:lvl w:ilvl="8" w:tplc="5CE07840" w:tentative="1">
      <w:start w:val="1"/>
      <w:numFmt w:val="decimal"/>
      <w:lvlText w:val="%9."/>
      <w:lvlJc w:val="left"/>
      <w:pPr>
        <w:tabs>
          <w:tab w:val="num" w:pos="6480"/>
        </w:tabs>
        <w:ind w:left="6480" w:hanging="360"/>
      </w:pPr>
    </w:lvl>
  </w:abstractNum>
  <w:abstractNum w:abstractNumId="14" w15:restartNumberingAfterBreak="0">
    <w:nsid w:val="2DDE69EA"/>
    <w:multiLevelType w:val="hybridMultilevel"/>
    <w:tmpl w:val="432431F6"/>
    <w:lvl w:ilvl="0" w:tplc="293422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872FBB"/>
    <w:multiLevelType w:val="hybridMultilevel"/>
    <w:tmpl w:val="AFA6F9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6502"/>
    <w:multiLevelType w:val="multilevel"/>
    <w:tmpl w:val="CA080C50"/>
    <w:lvl w:ilvl="0">
      <w:start w:val="1"/>
      <w:numFmt w:val="decimal"/>
      <w:lvlText w:val="%1."/>
      <w:lvlJc w:val="left"/>
      <w:pPr>
        <w:ind w:left="1080" w:firstLine="360"/>
      </w:pPr>
      <w:rPr>
        <w:b w:val="0"/>
      </w:rPr>
    </w:lvl>
    <w:lvl w:ilvl="1">
      <w:start w:val="1"/>
      <w:numFmt w:val="lowerRoman"/>
      <w:lvlText w:val="(%2)"/>
      <w:lvlJc w:val="left"/>
      <w:pPr>
        <w:ind w:left="1440" w:firstLine="1080"/>
      </w:pPr>
      <w:rPr>
        <w:rFonts w:ascii="Times New Roman" w:eastAsia="Times New Roman" w:hAnsi="Times New Roman" w:cs="Times New Roman"/>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43D3C66"/>
    <w:multiLevelType w:val="hybridMultilevel"/>
    <w:tmpl w:val="BE84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32D62"/>
    <w:multiLevelType w:val="hybridMultilevel"/>
    <w:tmpl w:val="64627C20"/>
    <w:lvl w:ilvl="0" w:tplc="6ADCFB3E">
      <w:start w:val="1"/>
      <w:numFmt w:val="decimal"/>
      <w:lvlText w:val="%1."/>
      <w:lvlJc w:val="left"/>
      <w:pPr>
        <w:tabs>
          <w:tab w:val="num" w:pos="720"/>
        </w:tabs>
        <w:ind w:left="720" w:hanging="360"/>
      </w:pPr>
    </w:lvl>
    <w:lvl w:ilvl="1" w:tplc="15B2D4FC" w:tentative="1">
      <w:start w:val="1"/>
      <w:numFmt w:val="decimal"/>
      <w:lvlText w:val="%2."/>
      <w:lvlJc w:val="left"/>
      <w:pPr>
        <w:tabs>
          <w:tab w:val="num" w:pos="1440"/>
        </w:tabs>
        <w:ind w:left="1440" w:hanging="360"/>
      </w:pPr>
    </w:lvl>
    <w:lvl w:ilvl="2" w:tplc="699ABAC4" w:tentative="1">
      <w:start w:val="1"/>
      <w:numFmt w:val="decimal"/>
      <w:lvlText w:val="%3."/>
      <w:lvlJc w:val="left"/>
      <w:pPr>
        <w:tabs>
          <w:tab w:val="num" w:pos="2160"/>
        </w:tabs>
        <w:ind w:left="2160" w:hanging="360"/>
      </w:pPr>
    </w:lvl>
    <w:lvl w:ilvl="3" w:tplc="7294F9D0" w:tentative="1">
      <w:start w:val="1"/>
      <w:numFmt w:val="decimal"/>
      <w:lvlText w:val="%4."/>
      <w:lvlJc w:val="left"/>
      <w:pPr>
        <w:tabs>
          <w:tab w:val="num" w:pos="2880"/>
        </w:tabs>
        <w:ind w:left="2880" w:hanging="360"/>
      </w:pPr>
    </w:lvl>
    <w:lvl w:ilvl="4" w:tplc="393289B0" w:tentative="1">
      <w:start w:val="1"/>
      <w:numFmt w:val="decimal"/>
      <w:lvlText w:val="%5."/>
      <w:lvlJc w:val="left"/>
      <w:pPr>
        <w:tabs>
          <w:tab w:val="num" w:pos="3600"/>
        </w:tabs>
        <w:ind w:left="3600" w:hanging="360"/>
      </w:pPr>
    </w:lvl>
    <w:lvl w:ilvl="5" w:tplc="A82C48F0" w:tentative="1">
      <w:start w:val="1"/>
      <w:numFmt w:val="decimal"/>
      <w:lvlText w:val="%6."/>
      <w:lvlJc w:val="left"/>
      <w:pPr>
        <w:tabs>
          <w:tab w:val="num" w:pos="4320"/>
        </w:tabs>
        <w:ind w:left="4320" w:hanging="360"/>
      </w:pPr>
    </w:lvl>
    <w:lvl w:ilvl="6" w:tplc="7428BD3A" w:tentative="1">
      <w:start w:val="1"/>
      <w:numFmt w:val="decimal"/>
      <w:lvlText w:val="%7."/>
      <w:lvlJc w:val="left"/>
      <w:pPr>
        <w:tabs>
          <w:tab w:val="num" w:pos="5040"/>
        </w:tabs>
        <w:ind w:left="5040" w:hanging="360"/>
      </w:pPr>
    </w:lvl>
    <w:lvl w:ilvl="7" w:tplc="CEE0002E" w:tentative="1">
      <w:start w:val="1"/>
      <w:numFmt w:val="decimal"/>
      <w:lvlText w:val="%8."/>
      <w:lvlJc w:val="left"/>
      <w:pPr>
        <w:tabs>
          <w:tab w:val="num" w:pos="5760"/>
        </w:tabs>
        <w:ind w:left="5760" w:hanging="360"/>
      </w:pPr>
    </w:lvl>
    <w:lvl w:ilvl="8" w:tplc="288CF88E" w:tentative="1">
      <w:start w:val="1"/>
      <w:numFmt w:val="decimal"/>
      <w:lvlText w:val="%9."/>
      <w:lvlJc w:val="left"/>
      <w:pPr>
        <w:tabs>
          <w:tab w:val="num" w:pos="6480"/>
        </w:tabs>
        <w:ind w:left="6480" w:hanging="360"/>
      </w:pPr>
    </w:lvl>
  </w:abstractNum>
  <w:abstractNum w:abstractNumId="19" w15:restartNumberingAfterBreak="0">
    <w:nsid w:val="36EB1D64"/>
    <w:multiLevelType w:val="hybridMultilevel"/>
    <w:tmpl w:val="2D404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6293A"/>
    <w:multiLevelType w:val="hybridMultilevel"/>
    <w:tmpl w:val="794E3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EF3B91"/>
    <w:multiLevelType w:val="hybridMultilevel"/>
    <w:tmpl w:val="03F410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C587A"/>
    <w:multiLevelType w:val="hybridMultilevel"/>
    <w:tmpl w:val="F136613E"/>
    <w:lvl w:ilvl="0" w:tplc="12FCBF72">
      <w:start w:val="1"/>
      <w:numFmt w:val="bullet"/>
      <w:lvlText w:val="•"/>
      <w:lvlJc w:val="left"/>
      <w:pPr>
        <w:tabs>
          <w:tab w:val="num" w:pos="720"/>
        </w:tabs>
        <w:ind w:left="720" w:hanging="360"/>
      </w:pPr>
      <w:rPr>
        <w:rFonts w:ascii="Arial" w:hAnsi="Arial" w:hint="default"/>
      </w:rPr>
    </w:lvl>
    <w:lvl w:ilvl="1" w:tplc="24E0F308">
      <w:start w:val="367"/>
      <w:numFmt w:val="bullet"/>
      <w:lvlText w:val="•"/>
      <w:lvlJc w:val="left"/>
      <w:pPr>
        <w:tabs>
          <w:tab w:val="num" w:pos="1440"/>
        </w:tabs>
        <w:ind w:left="1440" w:hanging="360"/>
      </w:pPr>
      <w:rPr>
        <w:rFonts w:ascii="Arial" w:hAnsi="Arial" w:hint="default"/>
      </w:rPr>
    </w:lvl>
    <w:lvl w:ilvl="2" w:tplc="23609DF8" w:tentative="1">
      <w:start w:val="1"/>
      <w:numFmt w:val="bullet"/>
      <w:lvlText w:val="•"/>
      <w:lvlJc w:val="left"/>
      <w:pPr>
        <w:tabs>
          <w:tab w:val="num" w:pos="2160"/>
        </w:tabs>
        <w:ind w:left="2160" w:hanging="360"/>
      </w:pPr>
      <w:rPr>
        <w:rFonts w:ascii="Arial" w:hAnsi="Arial" w:hint="default"/>
      </w:rPr>
    </w:lvl>
    <w:lvl w:ilvl="3" w:tplc="BC7C9408" w:tentative="1">
      <w:start w:val="1"/>
      <w:numFmt w:val="bullet"/>
      <w:lvlText w:val="•"/>
      <w:lvlJc w:val="left"/>
      <w:pPr>
        <w:tabs>
          <w:tab w:val="num" w:pos="2880"/>
        </w:tabs>
        <w:ind w:left="2880" w:hanging="360"/>
      </w:pPr>
      <w:rPr>
        <w:rFonts w:ascii="Arial" w:hAnsi="Arial" w:hint="default"/>
      </w:rPr>
    </w:lvl>
    <w:lvl w:ilvl="4" w:tplc="80D029F6" w:tentative="1">
      <w:start w:val="1"/>
      <w:numFmt w:val="bullet"/>
      <w:lvlText w:val="•"/>
      <w:lvlJc w:val="left"/>
      <w:pPr>
        <w:tabs>
          <w:tab w:val="num" w:pos="3600"/>
        </w:tabs>
        <w:ind w:left="3600" w:hanging="360"/>
      </w:pPr>
      <w:rPr>
        <w:rFonts w:ascii="Arial" w:hAnsi="Arial" w:hint="default"/>
      </w:rPr>
    </w:lvl>
    <w:lvl w:ilvl="5" w:tplc="4D9A5CE8" w:tentative="1">
      <w:start w:val="1"/>
      <w:numFmt w:val="bullet"/>
      <w:lvlText w:val="•"/>
      <w:lvlJc w:val="left"/>
      <w:pPr>
        <w:tabs>
          <w:tab w:val="num" w:pos="4320"/>
        </w:tabs>
        <w:ind w:left="4320" w:hanging="360"/>
      </w:pPr>
      <w:rPr>
        <w:rFonts w:ascii="Arial" w:hAnsi="Arial" w:hint="default"/>
      </w:rPr>
    </w:lvl>
    <w:lvl w:ilvl="6" w:tplc="8B98EDF2" w:tentative="1">
      <w:start w:val="1"/>
      <w:numFmt w:val="bullet"/>
      <w:lvlText w:val="•"/>
      <w:lvlJc w:val="left"/>
      <w:pPr>
        <w:tabs>
          <w:tab w:val="num" w:pos="5040"/>
        </w:tabs>
        <w:ind w:left="5040" w:hanging="360"/>
      </w:pPr>
      <w:rPr>
        <w:rFonts w:ascii="Arial" w:hAnsi="Arial" w:hint="default"/>
      </w:rPr>
    </w:lvl>
    <w:lvl w:ilvl="7" w:tplc="07523A80" w:tentative="1">
      <w:start w:val="1"/>
      <w:numFmt w:val="bullet"/>
      <w:lvlText w:val="•"/>
      <w:lvlJc w:val="left"/>
      <w:pPr>
        <w:tabs>
          <w:tab w:val="num" w:pos="5760"/>
        </w:tabs>
        <w:ind w:left="5760" w:hanging="360"/>
      </w:pPr>
      <w:rPr>
        <w:rFonts w:ascii="Arial" w:hAnsi="Arial" w:hint="default"/>
      </w:rPr>
    </w:lvl>
    <w:lvl w:ilvl="8" w:tplc="B204DE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2D12EA"/>
    <w:multiLevelType w:val="hybridMultilevel"/>
    <w:tmpl w:val="A22E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15:restartNumberingAfterBreak="0">
    <w:nsid w:val="54157381"/>
    <w:multiLevelType w:val="hybridMultilevel"/>
    <w:tmpl w:val="11D2F7A6"/>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27" w15:restartNumberingAfterBreak="0">
    <w:nsid w:val="57CF6EC9"/>
    <w:multiLevelType w:val="hybridMultilevel"/>
    <w:tmpl w:val="8C366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71AF6"/>
    <w:multiLevelType w:val="multilevel"/>
    <w:tmpl w:val="1E28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75ADB"/>
    <w:multiLevelType w:val="hybridMultilevel"/>
    <w:tmpl w:val="D41A7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F116F5"/>
    <w:multiLevelType w:val="hybridMultilevel"/>
    <w:tmpl w:val="4BA6A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8D16111"/>
    <w:multiLevelType w:val="hybridMultilevel"/>
    <w:tmpl w:val="20B29758"/>
    <w:lvl w:ilvl="0" w:tplc="D17AE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3524F"/>
    <w:multiLevelType w:val="hybridMultilevel"/>
    <w:tmpl w:val="CAC0D7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45D1A"/>
    <w:multiLevelType w:val="hybridMultilevel"/>
    <w:tmpl w:val="A65C8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4"/>
  </w:num>
  <w:num w:numId="4">
    <w:abstractNumId w:val="3"/>
  </w:num>
  <w:num w:numId="5">
    <w:abstractNumId w:val="2"/>
  </w:num>
  <w:num w:numId="6">
    <w:abstractNumId w:val="1"/>
  </w:num>
  <w:num w:numId="7">
    <w:abstractNumId w:val="0"/>
  </w:num>
  <w:num w:numId="8">
    <w:abstractNumId w:val="24"/>
  </w:num>
  <w:num w:numId="9">
    <w:abstractNumId w:val="31"/>
  </w:num>
  <w:num w:numId="10">
    <w:abstractNumId w:val="17"/>
  </w:num>
  <w:num w:numId="11">
    <w:abstractNumId w:val="12"/>
  </w:num>
  <w:num w:numId="12">
    <w:abstractNumId w:val="22"/>
  </w:num>
  <w:num w:numId="13">
    <w:abstractNumId w:val="10"/>
  </w:num>
  <w:num w:numId="14">
    <w:abstractNumId w:val="18"/>
  </w:num>
  <w:num w:numId="15">
    <w:abstractNumId w:val="8"/>
  </w:num>
  <w:num w:numId="16">
    <w:abstractNumId w:val="13"/>
  </w:num>
  <w:num w:numId="17">
    <w:abstractNumId w:val="30"/>
  </w:num>
  <w:num w:numId="18">
    <w:abstractNumId w:val="11"/>
  </w:num>
  <w:num w:numId="19">
    <w:abstractNumId w:val="16"/>
  </w:num>
  <w:num w:numId="20">
    <w:abstractNumId w:val="14"/>
  </w:num>
  <w:num w:numId="21">
    <w:abstractNumId w:val="25"/>
  </w:num>
  <w:num w:numId="22">
    <w:abstractNumId w:val="6"/>
  </w:num>
  <w:num w:numId="23">
    <w:abstractNumId w:val="27"/>
  </w:num>
  <w:num w:numId="24">
    <w:abstractNumId w:val="23"/>
  </w:num>
  <w:num w:numId="25">
    <w:abstractNumId w:val="15"/>
  </w:num>
  <w:num w:numId="26">
    <w:abstractNumId w:val="21"/>
  </w:num>
  <w:num w:numId="27">
    <w:abstractNumId w:val="32"/>
  </w:num>
  <w:num w:numId="28">
    <w:abstractNumId w:val="19"/>
  </w:num>
  <w:num w:numId="29">
    <w:abstractNumId w:val="20"/>
  </w:num>
  <w:num w:numId="30">
    <w:abstractNumId w:val="7"/>
  </w:num>
  <w:num w:numId="31">
    <w:abstractNumId w:val="28"/>
  </w:num>
  <w:num w:numId="32">
    <w:abstractNumId w:val="33"/>
  </w:num>
  <w:num w:numId="33">
    <w:abstractNumId w:val="9"/>
  </w:num>
  <w:num w:numId="34">
    <w:abstractNumId w:val="34"/>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3F"/>
    <w:rsid w:val="00000136"/>
    <w:rsid w:val="00001000"/>
    <w:rsid w:val="00003EFA"/>
    <w:rsid w:val="00006796"/>
    <w:rsid w:val="00011851"/>
    <w:rsid w:val="000119B4"/>
    <w:rsid w:val="00011F8B"/>
    <w:rsid w:val="00012D28"/>
    <w:rsid w:val="00012D5E"/>
    <w:rsid w:val="00013EC9"/>
    <w:rsid w:val="00014814"/>
    <w:rsid w:val="00024CC3"/>
    <w:rsid w:val="00032280"/>
    <w:rsid w:val="000349D3"/>
    <w:rsid w:val="0003674D"/>
    <w:rsid w:val="00036E84"/>
    <w:rsid w:val="0004133C"/>
    <w:rsid w:val="000444F1"/>
    <w:rsid w:val="000447A5"/>
    <w:rsid w:val="00045326"/>
    <w:rsid w:val="0004594B"/>
    <w:rsid w:val="00046667"/>
    <w:rsid w:val="000573D7"/>
    <w:rsid w:val="0006100C"/>
    <w:rsid w:val="00063185"/>
    <w:rsid w:val="00065148"/>
    <w:rsid w:val="00074531"/>
    <w:rsid w:val="0009202F"/>
    <w:rsid w:val="000939BB"/>
    <w:rsid w:val="0009567C"/>
    <w:rsid w:val="000A3AAC"/>
    <w:rsid w:val="000B24E3"/>
    <w:rsid w:val="000B30F4"/>
    <w:rsid w:val="000B500C"/>
    <w:rsid w:val="000B5A6E"/>
    <w:rsid w:val="000B70AA"/>
    <w:rsid w:val="000C3356"/>
    <w:rsid w:val="000C5D66"/>
    <w:rsid w:val="000C70E0"/>
    <w:rsid w:val="000C7CFB"/>
    <w:rsid w:val="000D194B"/>
    <w:rsid w:val="000D3491"/>
    <w:rsid w:val="000D4B97"/>
    <w:rsid w:val="000E3D61"/>
    <w:rsid w:val="000F0FD0"/>
    <w:rsid w:val="000F11D1"/>
    <w:rsid w:val="000F1B1A"/>
    <w:rsid w:val="000F259A"/>
    <w:rsid w:val="000F3E1B"/>
    <w:rsid w:val="000F7B8A"/>
    <w:rsid w:val="00101B7D"/>
    <w:rsid w:val="00101F31"/>
    <w:rsid w:val="00102966"/>
    <w:rsid w:val="00104B18"/>
    <w:rsid w:val="00106F7D"/>
    <w:rsid w:val="001108BC"/>
    <w:rsid w:val="00111B7A"/>
    <w:rsid w:val="00111E5C"/>
    <w:rsid w:val="0011601F"/>
    <w:rsid w:val="00120C71"/>
    <w:rsid w:val="00123470"/>
    <w:rsid w:val="00123A9A"/>
    <w:rsid w:val="00125D77"/>
    <w:rsid w:val="001303BF"/>
    <w:rsid w:val="00130572"/>
    <w:rsid w:val="0013417C"/>
    <w:rsid w:val="001341BF"/>
    <w:rsid w:val="00134C4C"/>
    <w:rsid w:val="00137456"/>
    <w:rsid w:val="001419B9"/>
    <w:rsid w:val="00144A16"/>
    <w:rsid w:val="00160E6F"/>
    <w:rsid w:val="00164688"/>
    <w:rsid w:val="00164925"/>
    <w:rsid w:val="001721DD"/>
    <w:rsid w:val="0017279E"/>
    <w:rsid w:val="00182B08"/>
    <w:rsid w:val="00190067"/>
    <w:rsid w:val="001927E4"/>
    <w:rsid w:val="00197749"/>
    <w:rsid w:val="001B26FC"/>
    <w:rsid w:val="001B5328"/>
    <w:rsid w:val="001B6E3C"/>
    <w:rsid w:val="001C3BEE"/>
    <w:rsid w:val="001C6F98"/>
    <w:rsid w:val="001D419C"/>
    <w:rsid w:val="001D4337"/>
    <w:rsid w:val="001D58E7"/>
    <w:rsid w:val="001D5C40"/>
    <w:rsid w:val="001D6496"/>
    <w:rsid w:val="001E04F4"/>
    <w:rsid w:val="001E3D8A"/>
    <w:rsid w:val="001F0B04"/>
    <w:rsid w:val="001F30B4"/>
    <w:rsid w:val="0020424E"/>
    <w:rsid w:val="00207806"/>
    <w:rsid w:val="00210F0E"/>
    <w:rsid w:val="00212B5F"/>
    <w:rsid w:val="00216B67"/>
    <w:rsid w:val="0021710D"/>
    <w:rsid w:val="00224EEB"/>
    <w:rsid w:val="00237432"/>
    <w:rsid w:val="00237762"/>
    <w:rsid w:val="0024092F"/>
    <w:rsid w:val="0024179F"/>
    <w:rsid w:val="0024181D"/>
    <w:rsid w:val="002421A0"/>
    <w:rsid w:val="00245D83"/>
    <w:rsid w:val="002470C8"/>
    <w:rsid w:val="00247D49"/>
    <w:rsid w:val="00250729"/>
    <w:rsid w:val="00253035"/>
    <w:rsid w:val="00255182"/>
    <w:rsid w:val="00255361"/>
    <w:rsid w:val="002554BA"/>
    <w:rsid w:val="002555E2"/>
    <w:rsid w:val="00255608"/>
    <w:rsid w:val="00255B41"/>
    <w:rsid w:val="00257C58"/>
    <w:rsid w:val="00257DC1"/>
    <w:rsid w:val="00260E90"/>
    <w:rsid w:val="002614F1"/>
    <w:rsid w:val="0026174A"/>
    <w:rsid w:val="00264113"/>
    <w:rsid w:val="00271B5D"/>
    <w:rsid w:val="00274DF4"/>
    <w:rsid w:val="002764D2"/>
    <w:rsid w:val="00276948"/>
    <w:rsid w:val="002824B6"/>
    <w:rsid w:val="0028441D"/>
    <w:rsid w:val="00285E00"/>
    <w:rsid w:val="00286DCA"/>
    <w:rsid w:val="00294F3C"/>
    <w:rsid w:val="002A17A5"/>
    <w:rsid w:val="002A5F75"/>
    <w:rsid w:val="002B0E8C"/>
    <w:rsid w:val="002D4DF0"/>
    <w:rsid w:val="002D5005"/>
    <w:rsid w:val="002D7720"/>
    <w:rsid w:val="002D79D9"/>
    <w:rsid w:val="002E7311"/>
    <w:rsid w:val="002F2872"/>
    <w:rsid w:val="002F2AF2"/>
    <w:rsid w:val="002F55A0"/>
    <w:rsid w:val="002F6DB3"/>
    <w:rsid w:val="002F7BC1"/>
    <w:rsid w:val="00301ACE"/>
    <w:rsid w:val="0030462C"/>
    <w:rsid w:val="00305948"/>
    <w:rsid w:val="00311013"/>
    <w:rsid w:val="0031167D"/>
    <w:rsid w:val="003163C6"/>
    <w:rsid w:val="00317A84"/>
    <w:rsid w:val="003213BE"/>
    <w:rsid w:val="0032161B"/>
    <w:rsid w:val="0032173B"/>
    <w:rsid w:val="00322BBE"/>
    <w:rsid w:val="0032334C"/>
    <w:rsid w:val="00325072"/>
    <w:rsid w:val="00334CC3"/>
    <w:rsid w:val="00337628"/>
    <w:rsid w:val="00340251"/>
    <w:rsid w:val="00341735"/>
    <w:rsid w:val="003460B1"/>
    <w:rsid w:val="003512B4"/>
    <w:rsid w:val="00353BD2"/>
    <w:rsid w:val="00364AD9"/>
    <w:rsid w:val="003726E3"/>
    <w:rsid w:val="00373E86"/>
    <w:rsid w:val="003841F7"/>
    <w:rsid w:val="0038447D"/>
    <w:rsid w:val="0038624C"/>
    <w:rsid w:val="003905FA"/>
    <w:rsid w:val="00393E66"/>
    <w:rsid w:val="003A0137"/>
    <w:rsid w:val="003A1B9E"/>
    <w:rsid w:val="003A2A77"/>
    <w:rsid w:val="003B7677"/>
    <w:rsid w:val="003C0ADC"/>
    <w:rsid w:val="003C3709"/>
    <w:rsid w:val="003C4F49"/>
    <w:rsid w:val="003C5417"/>
    <w:rsid w:val="003D1E47"/>
    <w:rsid w:val="003D2E18"/>
    <w:rsid w:val="003E08AE"/>
    <w:rsid w:val="003E28AA"/>
    <w:rsid w:val="003E5941"/>
    <w:rsid w:val="003F1F12"/>
    <w:rsid w:val="003F23EB"/>
    <w:rsid w:val="003F2595"/>
    <w:rsid w:val="003F488B"/>
    <w:rsid w:val="003F5539"/>
    <w:rsid w:val="004011D6"/>
    <w:rsid w:val="004117AA"/>
    <w:rsid w:val="004132E5"/>
    <w:rsid w:val="004155DF"/>
    <w:rsid w:val="00416074"/>
    <w:rsid w:val="00421C49"/>
    <w:rsid w:val="00430413"/>
    <w:rsid w:val="00436A01"/>
    <w:rsid w:val="004401E7"/>
    <w:rsid w:val="00440810"/>
    <w:rsid w:val="004472C5"/>
    <w:rsid w:val="0045185C"/>
    <w:rsid w:val="00454CED"/>
    <w:rsid w:val="00455966"/>
    <w:rsid w:val="0045758C"/>
    <w:rsid w:val="00457F1E"/>
    <w:rsid w:val="0046115F"/>
    <w:rsid w:val="00464269"/>
    <w:rsid w:val="004645B5"/>
    <w:rsid w:val="0046568E"/>
    <w:rsid w:val="00470872"/>
    <w:rsid w:val="004720EE"/>
    <w:rsid w:val="004737B7"/>
    <w:rsid w:val="00474D3A"/>
    <w:rsid w:val="004769C6"/>
    <w:rsid w:val="004771C5"/>
    <w:rsid w:val="00483507"/>
    <w:rsid w:val="00486008"/>
    <w:rsid w:val="0048765A"/>
    <w:rsid w:val="00492C37"/>
    <w:rsid w:val="0049375E"/>
    <w:rsid w:val="0049381E"/>
    <w:rsid w:val="004949F2"/>
    <w:rsid w:val="00496EBA"/>
    <w:rsid w:val="004A7902"/>
    <w:rsid w:val="004B1E0A"/>
    <w:rsid w:val="004B25EF"/>
    <w:rsid w:val="004B2C2A"/>
    <w:rsid w:val="004B3725"/>
    <w:rsid w:val="004B3766"/>
    <w:rsid w:val="004B662C"/>
    <w:rsid w:val="004B7159"/>
    <w:rsid w:val="004B7284"/>
    <w:rsid w:val="004C2967"/>
    <w:rsid w:val="004C3E84"/>
    <w:rsid w:val="004C3F84"/>
    <w:rsid w:val="004C4CEA"/>
    <w:rsid w:val="004C53A6"/>
    <w:rsid w:val="004C54A8"/>
    <w:rsid w:val="004D1220"/>
    <w:rsid w:val="004D1AD4"/>
    <w:rsid w:val="004D1B34"/>
    <w:rsid w:val="004D598E"/>
    <w:rsid w:val="004D5B96"/>
    <w:rsid w:val="004D5F92"/>
    <w:rsid w:val="004E2D20"/>
    <w:rsid w:val="004E3CC8"/>
    <w:rsid w:val="004E4E9E"/>
    <w:rsid w:val="004E6B2D"/>
    <w:rsid w:val="004E7390"/>
    <w:rsid w:val="004F06E4"/>
    <w:rsid w:val="004F0C50"/>
    <w:rsid w:val="004F0E9E"/>
    <w:rsid w:val="004F29ED"/>
    <w:rsid w:val="004F45DC"/>
    <w:rsid w:val="004F4A21"/>
    <w:rsid w:val="004F5211"/>
    <w:rsid w:val="004F6B90"/>
    <w:rsid w:val="004F7178"/>
    <w:rsid w:val="00500521"/>
    <w:rsid w:val="00501CBC"/>
    <w:rsid w:val="00502274"/>
    <w:rsid w:val="0050619C"/>
    <w:rsid w:val="00510ECF"/>
    <w:rsid w:val="005165D4"/>
    <w:rsid w:val="00517D64"/>
    <w:rsid w:val="00520591"/>
    <w:rsid w:val="005217E7"/>
    <w:rsid w:val="00527051"/>
    <w:rsid w:val="005303F2"/>
    <w:rsid w:val="00531ACC"/>
    <w:rsid w:val="00532224"/>
    <w:rsid w:val="005325CB"/>
    <w:rsid w:val="00535CA2"/>
    <w:rsid w:val="00537C11"/>
    <w:rsid w:val="00543C61"/>
    <w:rsid w:val="00545B83"/>
    <w:rsid w:val="0054640D"/>
    <w:rsid w:val="00552208"/>
    <w:rsid w:val="00556600"/>
    <w:rsid w:val="00560D89"/>
    <w:rsid w:val="00563A10"/>
    <w:rsid w:val="00563DEE"/>
    <w:rsid w:val="00563EC1"/>
    <w:rsid w:val="005732B4"/>
    <w:rsid w:val="00574036"/>
    <w:rsid w:val="00575C03"/>
    <w:rsid w:val="0057604D"/>
    <w:rsid w:val="005855EB"/>
    <w:rsid w:val="00586A60"/>
    <w:rsid w:val="00592590"/>
    <w:rsid w:val="00592637"/>
    <w:rsid w:val="005934D1"/>
    <w:rsid w:val="00594925"/>
    <w:rsid w:val="005A07B5"/>
    <w:rsid w:val="005A443F"/>
    <w:rsid w:val="005A6F2E"/>
    <w:rsid w:val="005B0DEA"/>
    <w:rsid w:val="005B2383"/>
    <w:rsid w:val="005B3CD4"/>
    <w:rsid w:val="005B5FA8"/>
    <w:rsid w:val="005B6F49"/>
    <w:rsid w:val="005C169C"/>
    <w:rsid w:val="005C32A6"/>
    <w:rsid w:val="005C3FE8"/>
    <w:rsid w:val="005D20D3"/>
    <w:rsid w:val="005D66B8"/>
    <w:rsid w:val="005E16B5"/>
    <w:rsid w:val="005E65D1"/>
    <w:rsid w:val="005F6124"/>
    <w:rsid w:val="00600AE1"/>
    <w:rsid w:val="00601AE9"/>
    <w:rsid w:val="006035D7"/>
    <w:rsid w:val="00603FA0"/>
    <w:rsid w:val="00605A18"/>
    <w:rsid w:val="00612BED"/>
    <w:rsid w:val="00616DC7"/>
    <w:rsid w:val="0062118E"/>
    <w:rsid w:val="00621931"/>
    <w:rsid w:val="006225F7"/>
    <w:rsid w:val="00622FC0"/>
    <w:rsid w:val="00625693"/>
    <w:rsid w:val="00635E2A"/>
    <w:rsid w:val="00637476"/>
    <w:rsid w:val="00640189"/>
    <w:rsid w:val="00641284"/>
    <w:rsid w:val="006417A1"/>
    <w:rsid w:val="00641CB3"/>
    <w:rsid w:val="00642593"/>
    <w:rsid w:val="006425A3"/>
    <w:rsid w:val="00643456"/>
    <w:rsid w:val="00646E62"/>
    <w:rsid w:val="00651EF3"/>
    <w:rsid w:val="006610F8"/>
    <w:rsid w:val="0066571D"/>
    <w:rsid w:val="00665F7E"/>
    <w:rsid w:val="00666358"/>
    <w:rsid w:val="00666756"/>
    <w:rsid w:val="006756F1"/>
    <w:rsid w:val="006813BA"/>
    <w:rsid w:val="00686345"/>
    <w:rsid w:val="00696813"/>
    <w:rsid w:val="00697C20"/>
    <w:rsid w:val="006A1DA4"/>
    <w:rsid w:val="006A6386"/>
    <w:rsid w:val="006B32F3"/>
    <w:rsid w:val="006B36E3"/>
    <w:rsid w:val="006B45D9"/>
    <w:rsid w:val="006B6537"/>
    <w:rsid w:val="006B6963"/>
    <w:rsid w:val="006C0DA3"/>
    <w:rsid w:val="006C322A"/>
    <w:rsid w:val="006C3AF2"/>
    <w:rsid w:val="006C6059"/>
    <w:rsid w:val="006D0A7D"/>
    <w:rsid w:val="006D100E"/>
    <w:rsid w:val="006D22B2"/>
    <w:rsid w:val="006D2639"/>
    <w:rsid w:val="006D3BF4"/>
    <w:rsid w:val="006D3DEC"/>
    <w:rsid w:val="006D49E7"/>
    <w:rsid w:val="006D530A"/>
    <w:rsid w:val="006E2681"/>
    <w:rsid w:val="006E4BEA"/>
    <w:rsid w:val="006F22DF"/>
    <w:rsid w:val="006F4DC3"/>
    <w:rsid w:val="006F4DE2"/>
    <w:rsid w:val="006F76F3"/>
    <w:rsid w:val="00707CE8"/>
    <w:rsid w:val="007100C5"/>
    <w:rsid w:val="007117BC"/>
    <w:rsid w:val="00716898"/>
    <w:rsid w:val="00717BFF"/>
    <w:rsid w:val="00722412"/>
    <w:rsid w:val="007308B6"/>
    <w:rsid w:val="00733B67"/>
    <w:rsid w:val="00733E51"/>
    <w:rsid w:val="00736166"/>
    <w:rsid w:val="00736CFC"/>
    <w:rsid w:val="0074180D"/>
    <w:rsid w:val="007421B2"/>
    <w:rsid w:val="0074423A"/>
    <w:rsid w:val="007546B6"/>
    <w:rsid w:val="0075565D"/>
    <w:rsid w:val="00760ADE"/>
    <w:rsid w:val="00761B1D"/>
    <w:rsid w:val="0076757E"/>
    <w:rsid w:val="00771B9B"/>
    <w:rsid w:val="007720C6"/>
    <w:rsid w:val="00772C2F"/>
    <w:rsid w:val="00772FCE"/>
    <w:rsid w:val="0078731E"/>
    <w:rsid w:val="00790C93"/>
    <w:rsid w:val="007938D1"/>
    <w:rsid w:val="007A37D2"/>
    <w:rsid w:val="007A77CF"/>
    <w:rsid w:val="007B07B8"/>
    <w:rsid w:val="007B13B4"/>
    <w:rsid w:val="007B1919"/>
    <w:rsid w:val="007B1F3D"/>
    <w:rsid w:val="007B2506"/>
    <w:rsid w:val="007B3A87"/>
    <w:rsid w:val="007C0926"/>
    <w:rsid w:val="007C118D"/>
    <w:rsid w:val="007C4ED5"/>
    <w:rsid w:val="007C655B"/>
    <w:rsid w:val="007D133B"/>
    <w:rsid w:val="007D3F4B"/>
    <w:rsid w:val="007D51B8"/>
    <w:rsid w:val="007D7D27"/>
    <w:rsid w:val="007E12D0"/>
    <w:rsid w:val="007E48BB"/>
    <w:rsid w:val="007F01E4"/>
    <w:rsid w:val="007F1149"/>
    <w:rsid w:val="007F2C71"/>
    <w:rsid w:val="00800D37"/>
    <w:rsid w:val="0080203C"/>
    <w:rsid w:val="0080405D"/>
    <w:rsid w:val="0080447C"/>
    <w:rsid w:val="00810DB5"/>
    <w:rsid w:val="008110E3"/>
    <w:rsid w:val="00811AD3"/>
    <w:rsid w:val="008128EC"/>
    <w:rsid w:val="00813228"/>
    <w:rsid w:val="00813DB2"/>
    <w:rsid w:val="00814E39"/>
    <w:rsid w:val="00815C54"/>
    <w:rsid w:val="00816CF5"/>
    <w:rsid w:val="00817240"/>
    <w:rsid w:val="00817C3A"/>
    <w:rsid w:val="00820B67"/>
    <w:rsid w:val="00824485"/>
    <w:rsid w:val="00825D15"/>
    <w:rsid w:val="00837B3A"/>
    <w:rsid w:val="00837E97"/>
    <w:rsid w:val="008405F7"/>
    <w:rsid w:val="0084124E"/>
    <w:rsid w:val="00844409"/>
    <w:rsid w:val="0084780A"/>
    <w:rsid w:val="0085284D"/>
    <w:rsid w:val="00854320"/>
    <w:rsid w:val="008543F1"/>
    <w:rsid w:val="0085585D"/>
    <w:rsid w:val="00864B3D"/>
    <w:rsid w:val="008765A6"/>
    <w:rsid w:val="00880239"/>
    <w:rsid w:val="0088117D"/>
    <w:rsid w:val="00881243"/>
    <w:rsid w:val="0088162D"/>
    <w:rsid w:val="00882B8C"/>
    <w:rsid w:val="00887362"/>
    <w:rsid w:val="008874E6"/>
    <w:rsid w:val="008A3214"/>
    <w:rsid w:val="008A33DE"/>
    <w:rsid w:val="008B2A32"/>
    <w:rsid w:val="008B42BF"/>
    <w:rsid w:val="008B4A6E"/>
    <w:rsid w:val="008B688C"/>
    <w:rsid w:val="008C236D"/>
    <w:rsid w:val="008D4A2E"/>
    <w:rsid w:val="008D78EA"/>
    <w:rsid w:val="008E02D3"/>
    <w:rsid w:val="008E29F8"/>
    <w:rsid w:val="008E4A7B"/>
    <w:rsid w:val="008E4EE7"/>
    <w:rsid w:val="008E4FF6"/>
    <w:rsid w:val="008E5055"/>
    <w:rsid w:val="008F1A4B"/>
    <w:rsid w:val="008F3364"/>
    <w:rsid w:val="008F3560"/>
    <w:rsid w:val="008F4B6D"/>
    <w:rsid w:val="008F4E87"/>
    <w:rsid w:val="008F5528"/>
    <w:rsid w:val="008F63A0"/>
    <w:rsid w:val="008F7E0A"/>
    <w:rsid w:val="00902435"/>
    <w:rsid w:val="00903BAB"/>
    <w:rsid w:val="0090527F"/>
    <w:rsid w:val="00905B32"/>
    <w:rsid w:val="00905CFF"/>
    <w:rsid w:val="009171A7"/>
    <w:rsid w:val="0091779D"/>
    <w:rsid w:val="00920EF0"/>
    <w:rsid w:val="0092184B"/>
    <w:rsid w:val="00921D63"/>
    <w:rsid w:val="009235A7"/>
    <w:rsid w:val="00931753"/>
    <w:rsid w:val="00934C4B"/>
    <w:rsid w:val="0093719E"/>
    <w:rsid w:val="0093721C"/>
    <w:rsid w:val="00940A8D"/>
    <w:rsid w:val="00943545"/>
    <w:rsid w:val="00944EAE"/>
    <w:rsid w:val="00946B46"/>
    <w:rsid w:val="009502DD"/>
    <w:rsid w:val="0095103A"/>
    <w:rsid w:val="009570B0"/>
    <w:rsid w:val="00963574"/>
    <w:rsid w:val="0096676A"/>
    <w:rsid w:val="00970902"/>
    <w:rsid w:val="00976BBC"/>
    <w:rsid w:val="00976FBD"/>
    <w:rsid w:val="00980A5C"/>
    <w:rsid w:val="00981AA1"/>
    <w:rsid w:val="00981F9E"/>
    <w:rsid w:val="00982597"/>
    <w:rsid w:val="00987DB1"/>
    <w:rsid w:val="00991E5F"/>
    <w:rsid w:val="00996E6C"/>
    <w:rsid w:val="00997C36"/>
    <w:rsid w:val="009A0144"/>
    <w:rsid w:val="009A04BE"/>
    <w:rsid w:val="009A3961"/>
    <w:rsid w:val="009A3F8C"/>
    <w:rsid w:val="009A69BB"/>
    <w:rsid w:val="009B254A"/>
    <w:rsid w:val="009B4454"/>
    <w:rsid w:val="009C6DDF"/>
    <w:rsid w:val="009C7748"/>
    <w:rsid w:val="009C7B2B"/>
    <w:rsid w:val="009C7F56"/>
    <w:rsid w:val="009D0327"/>
    <w:rsid w:val="009D2B10"/>
    <w:rsid w:val="009D658A"/>
    <w:rsid w:val="009E4595"/>
    <w:rsid w:val="009E4DB8"/>
    <w:rsid w:val="009F1B4C"/>
    <w:rsid w:val="009F314C"/>
    <w:rsid w:val="009F3634"/>
    <w:rsid w:val="009F3C0D"/>
    <w:rsid w:val="009F7C02"/>
    <w:rsid w:val="00A00DE0"/>
    <w:rsid w:val="00A011A4"/>
    <w:rsid w:val="00A033DA"/>
    <w:rsid w:val="00A03AC3"/>
    <w:rsid w:val="00A06404"/>
    <w:rsid w:val="00A13D2C"/>
    <w:rsid w:val="00A22BBF"/>
    <w:rsid w:val="00A2681D"/>
    <w:rsid w:val="00A27BDC"/>
    <w:rsid w:val="00A31AFD"/>
    <w:rsid w:val="00A32A15"/>
    <w:rsid w:val="00A40E66"/>
    <w:rsid w:val="00A41C30"/>
    <w:rsid w:val="00A42E7F"/>
    <w:rsid w:val="00A435AA"/>
    <w:rsid w:val="00A5022A"/>
    <w:rsid w:val="00A60041"/>
    <w:rsid w:val="00A656B7"/>
    <w:rsid w:val="00A707C3"/>
    <w:rsid w:val="00A84BC9"/>
    <w:rsid w:val="00A92F34"/>
    <w:rsid w:val="00A94935"/>
    <w:rsid w:val="00A95A3B"/>
    <w:rsid w:val="00AA4FC2"/>
    <w:rsid w:val="00AA76D7"/>
    <w:rsid w:val="00AB3206"/>
    <w:rsid w:val="00AB34A8"/>
    <w:rsid w:val="00AB4259"/>
    <w:rsid w:val="00AB6ECB"/>
    <w:rsid w:val="00AC3D6E"/>
    <w:rsid w:val="00AC5B90"/>
    <w:rsid w:val="00AC781C"/>
    <w:rsid w:val="00AD2D84"/>
    <w:rsid w:val="00AD53E9"/>
    <w:rsid w:val="00AD7118"/>
    <w:rsid w:val="00AD77C9"/>
    <w:rsid w:val="00AE0B58"/>
    <w:rsid w:val="00AE21DD"/>
    <w:rsid w:val="00AE5623"/>
    <w:rsid w:val="00AF07EA"/>
    <w:rsid w:val="00AF0B1A"/>
    <w:rsid w:val="00AF71AC"/>
    <w:rsid w:val="00AF78AE"/>
    <w:rsid w:val="00B01B3D"/>
    <w:rsid w:val="00B01D79"/>
    <w:rsid w:val="00B032FF"/>
    <w:rsid w:val="00B07C38"/>
    <w:rsid w:val="00B10B85"/>
    <w:rsid w:val="00B11858"/>
    <w:rsid w:val="00B14687"/>
    <w:rsid w:val="00B251AD"/>
    <w:rsid w:val="00B26612"/>
    <w:rsid w:val="00B32961"/>
    <w:rsid w:val="00B331D5"/>
    <w:rsid w:val="00B365B5"/>
    <w:rsid w:val="00B372EA"/>
    <w:rsid w:val="00B37C67"/>
    <w:rsid w:val="00B44F7F"/>
    <w:rsid w:val="00B512B1"/>
    <w:rsid w:val="00B60159"/>
    <w:rsid w:val="00B61977"/>
    <w:rsid w:val="00B65A92"/>
    <w:rsid w:val="00B667C4"/>
    <w:rsid w:val="00B70008"/>
    <w:rsid w:val="00B7096C"/>
    <w:rsid w:val="00B74276"/>
    <w:rsid w:val="00B74BB5"/>
    <w:rsid w:val="00B76432"/>
    <w:rsid w:val="00B81CF6"/>
    <w:rsid w:val="00B86923"/>
    <w:rsid w:val="00B90BEF"/>
    <w:rsid w:val="00B91400"/>
    <w:rsid w:val="00B94F1A"/>
    <w:rsid w:val="00B963F2"/>
    <w:rsid w:val="00BA3223"/>
    <w:rsid w:val="00BA36F5"/>
    <w:rsid w:val="00BA50BA"/>
    <w:rsid w:val="00BB0895"/>
    <w:rsid w:val="00BB2757"/>
    <w:rsid w:val="00BB6B29"/>
    <w:rsid w:val="00BB6E45"/>
    <w:rsid w:val="00BC2B87"/>
    <w:rsid w:val="00BC4196"/>
    <w:rsid w:val="00BC47D3"/>
    <w:rsid w:val="00BC6273"/>
    <w:rsid w:val="00BC7FB7"/>
    <w:rsid w:val="00BD1064"/>
    <w:rsid w:val="00BD1176"/>
    <w:rsid w:val="00BD228A"/>
    <w:rsid w:val="00BD6A78"/>
    <w:rsid w:val="00BE3572"/>
    <w:rsid w:val="00BE7886"/>
    <w:rsid w:val="00BF0C69"/>
    <w:rsid w:val="00BF1340"/>
    <w:rsid w:val="00BF4828"/>
    <w:rsid w:val="00BF54B2"/>
    <w:rsid w:val="00C00506"/>
    <w:rsid w:val="00C13B13"/>
    <w:rsid w:val="00C14616"/>
    <w:rsid w:val="00C205DC"/>
    <w:rsid w:val="00C21E7C"/>
    <w:rsid w:val="00C278AD"/>
    <w:rsid w:val="00C30E13"/>
    <w:rsid w:val="00C318AF"/>
    <w:rsid w:val="00C32260"/>
    <w:rsid w:val="00C33C90"/>
    <w:rsid w:val="00C37DD6"/>
    <w:rsid w:val="00C408C6"/>
    <w:rsid w:val="00C40FC9"/>
    <w:rsid w:val="00C507F6"/>
    <w:rsid w:val="00C520A2"/>
    <w:rsid w:val="00C5502E"/>
    <w:rsid w:val="00C55FAC"/>
    <w:rsid w:val="00C574DE"/>
    <w:rsid w:val="00C60086"/>
    <w:rsid w:val="00C622B6"/>
    <w:rsid w:val="00C62BAB"/>
    <w:rsid w:val="00C660BE"/>
    <w:rsid w:val="00C7142C"/>
    <w:rsid w:val="00C717CE"/>
    <w:rsid w:val="00C74897"/>
    <w:rsid w:val="00C75362"/>
    <w:rsid w:val="00C75C4E"/>
    <w:rsid w:val="00C76B50"/>
    <w:rsid w:val="00C81DB0"/>
    <w:rsid w:val="00C825B9"/>
    <w:rsid w:val="00C85732"/>
    <w:rsid w:val="00C90E87"/>
    <w:rsid w:val="00C913A5"/>
    <w:rsid w:val="00C91D58"/>
    <w:rsid w:val="00CA185D"/>
    <w:rsid w:val="00CA304B"/>
    <w:rsid w:val="00CB15A3"/>
    <w:rsid w:val="00CB6472"/>
    <w:rsid w:val="00CC2A6D"/>
    <w:rsid w:val="00CC4BDB"/>
    <w:rsid w:val="00CC7A02"/>
    <w:rsid w:val="00CD04F1"/>
    <w:rsid w:val="00CD50A9"/>
    <w:rsid w:val="00CD683D"/>
    <w:rsid w:val="00CE115E"/>
    <w:rsid w:val="00CE24D1"/>
    <w:rsid w:val="00CE2DEB"/>
    <w:rsid w:val="00CE34B2"/>
    <w:rsid w:val="00CF082E"/>
    <w:rsid w:val="00CF147E"/>
    <w:rsid w:val="00D007CD"/>
    <w:rsid w:val="00D02A58"/>
    <w:rsid w:val="00D0400E"/>
    <w:rsid w:val="00D06FA1"/>
    <w:rsid w:val="00D139AE"/>
    <w:rsid w:val="00D14EE6"/>
    <w:rsid w:val="00D16747"/>
    <w:rsid w:val="00D21D52"/>
    <w:rsid w:val="00D22810"/>
    <w:rsid w:val="00D2343F"/>
    <w:rsid w:val="00D244C0"/>
    <w:rsid w:val="00D269A5"/>
    <w:rsid w:val="00D26AB4"/>
    <w:rsid w:val="00D34F45"/>
    <w:rsid w:val="00D4010E"/>
    <w:rsid w:val="00D42974"/>
    <w:rsid w:val="00D50537"/>
    <w:rsid w:val="00D50AAC"/>
    <w:rsid w:val="00D51682"/>
    <w:rsid w:val="00D700A2"/>
    <w:rsid w:val="00D7032E"/>
    <w:rsid w:val="00D70EF6"/>
    <w:rsid w:val="00D70FEB"/>
    <w:rsid w:val="00D72C84"/>
    <w:rsid w:val="00D75EEE"/>
    <w:rsid w:val="00D769AA"/>
    <w:rsid w:val="00D8578A"/>
    <w:rsid w:val="00D862CB"/>
    <w:rsid w:val="00D875BC"/>
    <w:rsid w:val="00D87AA3"/>
    <w:rsid w:val="00D9044D"/>
    <w:rsid w:val="00D97101"/>
    <w:rsid w:val="00D97B09"/>
    <w:rsid w:val="00DA1348"/>
    <w:rsid w:val="00DA15D9"/>
    <w:rsid w:val="00DA3BB9"/>
    <w:rsid w:val="00DA5887"/>
    <w:rsid w:val="00DA5CCF"/>
    <w:rsid w:val="00DA6909"/>
    <w:rsid w:val="00DC049E"/>
    <w:rsid w:val="00DC1860"/>
    <w:rsid w:val="00DC4DBE"/>
    <w:rsid w:val="00DC72FA"/>
    <w:rsid w:val="00DC7FDD"/>
    <w:rsid w:val="00DD1A99"/>
    <w:rsid w:val="00DD1C95"/>
    <w:rsid w:val="00DD1D51"/>
    <w:rsid w:val="00DD585D"/>
    <w:rsid w:val="00DD65A0"/>
    <w:rsid w:val="00DD7CD8"/>
    <w:rsid w:val="00DE375C"/>
    <w:rsid w:val="00DE391F"/>
    <w:rsid w:val="00DE62F4"/>
    <w:rsid w:val="00DE709D"/>
    <w:rsid w:val="00DF1358"/>
    <w:rsid w:val="00DF2B3D"/>
    <w:rsid w:val="00DF56D8"/>
    <w:rsid w:val="00E013A9"/>
    <w:rsid w:val="00E02F0A"/>
    <w:rsid w:val="00E064AF"/>
    <w:rsid w:val="00E12A25"/>
    <w:rsid w:val="00E138B1"/>
    <w:rsid w:val="00E139DA"/>
    <w:rsid w:val="00E152CE"/>
    <w:rsid w:val="00E17BF7"/>
    <w:rsid w:val="00E17E87"/>
    <w:rsid w:val="00E254E1"/>
    <w:rsid w:val="00E26C07"/>
    <w:rsid w:val="00E26CBD"/>
    <w:rsid w:val="00E31861"/>
    <w:rsid w:val="00E36B03"/>
    <w:rsid w:val="00E407B9"/>
    <w:rsid w:val="00E429B0"/>
    <w:rsid w:val="00E464B3"/>
    <w:rsid w:val="00E5070E"/>
    <w:rsid w:val="00E52482"/>
    <w:rsid w:val="00E5253B"/>
    <w:rsid w:val="00E63CDD"/>
    <w:rsid w:val="00E64F0A"/>
    <w:rsid w:val="00E66793"/>
    <w:rsid w:val="00E70598"/>
    <w:rsid w:val="00E72F88"/>
    <w:rsid w:val="00E800FA"/>
    <w:rsid w:val="00E81655"/>
    <w:rsid w:val="00E83653"/>
    <w:rsid w:val="00E83F8E"/>
    <w:rsid w:val="00E942A5"/>
    <w:rsid w:val="00E94488"/>
    <w:rsid w:val="00E94698"/>
    <w:rsid w:val="00EA1F73"/>
    <w:rsid w:val="00EA69AB"/>
    <w:rsid w:val="00EB77E2"/>
    <w:rsid w:val="00EC229B"/>
    <w:rsid w:val="00EC5104"/>
    <w:rsid w:val="00EC654A"/>
    <w:rsid w:val="00EC756A"/>
    <w:rsid w:val="00ED12F4"/>
    <w:rsid w:val="00ED197C"/>
    <w:rsid w:val="00ED230E"/>
    <w:rsid w:val="00ED3EBD"/>
    <w:rsid w:val="00ED490E"/>
    <w:rsid w:val="00ED7CC6"/>
    <w:rsid w:val="00EE0222"/>
    <w:rsid w:val="00EE0488"/>
    <w:rsid w:val="00EE0738"/>
    <w:rsid w:val="00EE19EA"/>
    <w:rsid w:val="00EE7FAC"/>
    <w:rsid w:val="00EF107A"/>
    <w:rsid w:val="00EF1403"/>
    <w:rsid w:val="00EF309D"/>
    <w:rsid w:val="00EF5643"/>
    <w:rsid w:val="00F04C34"/>
    <w:rsid w:val="00F04E20"/>
    <w:rsid w:val="00F05CB4"/>
    <w:rsid w:val="00F144C9"/>
    <w:rsid w:val="00F15914"/>
    <w:rsid w:val="00F20FB6"/>
    <w:rsid w:val="00F23690"/>
    <w:rsid w:val="00F24FCB"/>
    <w:rsid w:val="00F25047"/>
    <w:rsid w:val="00F27A75"/>
    <w:rsid w:val="00F309E1"/>
    <w:rsid w:val="00F34E1A"/>
    <w:rsid w:val="00F35C10"/>
    <w:rsid w:val="00F3640B"/>
    <w:rsid w:val="00F37405"/>
    <w:rsid w:val="00F47B00"/>
    <w:rsid w:val="00F52B64"/>
    <w:rsid w:val="00F5562C"/>
    <w:rsid w:val="00F615A9"/>
    <w:rsid w:val="00F63F3D"/>
    <w:rsid w:val="00F654B4"/>
    <w:rsid w:val="00F74565"/>
    <w:rsid w:val="00F74DA5"/>
    <w:rsid w:val="00F756C8"/>
    <w:rsid w:val="00F77A73"/>
    <w:rsid w:val="00F81DC5"/>
    <w:rsid w:val="00F90305"/>
    <w:rsid w:val="00F95579"/>
    <w:rsid w:val="00F9585B"/>
    <w:rsid w:val="00FA16F3"/>
    <w:rsid w:val="00FA2109"/>
    <w:rsid w:val="00FA4268"/>
    <w:rsid w:val="00FA4BD6"/>
    <w:rsid w:val="00FA6166"/>
    <w:rsid w:val="00FA6506"/>
    <w:rsid w:val="00FA7317"/>
    <w:rsid w:val="00FB0455"/>
    <w:rsid w:val="00FB0508"/>
    <w:rsid w:val="00FC76FE"/>
    <w:rsid w:val="00FD2C98"/>
    <w:rsid w:val="00FD2FC2"/>
    <w:rsid w:val="00FD3224"/>
    <w:rsid w:val="00FD3788"/>
    <w:rsid w:val="00FD3B97"/>
    <w:rsid w:val="00FD7FDC"/>
    <w:rsid w:val="00FE0A1E"/>
    <w:rsid w:val="00FE2372"/>
    <w:rsid w:val="00FE4D32"/>
    <w:rsid w:val="00FE4D98"/>
    <w:rsid w:val="00FF5361"/>
    <w:rsid w:val="00FF79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semiHidden="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22DF"/>
    <w:pPr>
      <w:jc w:val="both"/>
    </w:pPr>
    <w:rPr>
      <w:rFonts w:ascii="Verdana" w:hAnsi="Verdana"/>
      <w:sz w:val="18"/>
      <w:szCs w:val="22"/>
      <w:lang w:val="en-GB"/>
    </w:rPr>
  </w:style>
  <w:style w:type="paragraph" w:styleId="Heading1">
    <w:name w:val="heading 1"/>
    <w:basedOn w:val="Normal"/>
    <w:next w:val="Heading2"/>
    <w:link w:val="Heading1Char"/>
    <w:uiPriority w:val="2"/>
    <w:qFormat/>
    <w:rsid w:val="006F22DF"/>
    <w:pPr>
      <w:keepNext/>
      <w:keepLines/>
      <w:numPr>
        <w:numId w:val="2"/>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6F22DF"/>
    <w:pPr>
      <w:keepNext/>
      <w:keepLines/>
      <w:numPr>
        <w:ilvl w:val="1"/>
        <w:numId w:val="2"/>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6F22DF"/>
    <w:pPr>
      <w:keepNext/>
      <w:keepLines/>
      <w:numPr>
        <w:ilvl w:val="2"/>
        <w:numId w:val="2"/>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6F22DF"/>
    <w:pPr>
      <w:keepNext/>
      <w:keepLines/>
      <w:numPr>
        <w:ilvl w:val="3"/>
        <w:numId w:val="2"/>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6F22DF"/>
    <w:pPr>
      <w:keepNext/>
      <w:keepLines/>
      <w:numPr>
        <w:ilvl w:val="4"/>
        <w:numId w:val="2"/>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6F22DF"/>
    <w:pPr>
      <w:keepNext/>
      <w:keepLines/>
      <w:numPr>
        <w:ilvl w:val="5"/>
        <w:numId w:val="2"/>
      </w:numPr>
      <w:spacing w:after="240"/>
      <w:outlineLvl w:val="5"/>
    </w:pPr>
    <w:rPr>
      <w:rFonts w:eastAsia="Times New Roman"/>
      <w:b/>
      <w:iCs/>
      <w:color w:val="006283"/>
    </w:rPr>
  </w:style>
  <w:style w:type="paragraph" w:styleId="Heading7">
    <w:name w:val="heading 7"/>
    <w:basedOn w:val="Normal"/>
    <w:next w:val="Normal"/>
    <w:link w:val="Heading7Char"/>
    <w:uiPriority w:val="2"/>
    <w:rsid w:val="006F22D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6F22D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6F22D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uiPriority w:val="6"/>
    <w:qFormat/>
    <w:rsid w:val="006F22DF"/>
    <w:pPr>
      <w:spacing w:after="240"/>
      <w:ind w:left="1077"/>
    </w:pPr>
  </w:style>
  <w:style w:type="paragraph" w:styleId="ListParagraph">
    <w:name w:val="List Paragraph"/>
    <w:aliases w:val="List Paragraph (numbered (a))"/>
    <w:basedOn w:val="Normal"/>
    <w:link w:val="ListParagraphChar"/>
    <w:uiPriority w:val="34"/>
    <w:qFormat/>
    <w:rsid w:val="006F22DF"/>
    <w:pPr>
      <w:ind w:left="720"/>
      <w:contextualSpacing/>
    </w:pPr>
  </w:style>
  <w:style w:type="paragraph" w:styleId="BodyText">
    <w:name w:val="Body Text"/>
    <w:basedOn w:val="Normal"/>
    <w:link w:val="BodyTextChar"/>
    <w:uiPriority w:val="1"/>
    <w:qFormat/>
    <w:rsid w:val="006F22DF"/>
    <w:pPr>
      <w:numPr>
        <w:ilvl w:val="6"/>
        <w:numId w:val="2"/>
      </w:numPr>
      <w:spacing w:after="240"/>
    </w:pPr>
  </w:style>
  <w:style w:type="character" w:customStyle="1" w:styleId="AnswerChar">
    <w:name w:val="Answer Char"/>
    <w:link w:val="Answer"/>
    <w:uiPriority w:val="6"/>
    <w:rsid w:val="006F22DF"/>
    <w:rPr>
      <w:rFonts w:ascii="Verdana" w:hAnsi="Verdana"/>
      <w:sz w:val="18"/>
      <w:szCs w:val="22"/>
      <w:lang w:val="en-GB"/>
    </w:rPr>
  </w:style>
  <w:style w:type="character" w:styleId="Hyperlink">
    <w:name w:val="Hyperlink"/>
    <w:unhideWhenUsed/>
    <w:rsid w:val="006F22DF"/>
    <w:rPr>
      <w:color w:val="0000FF"/>
      <w:u w:val="single"/>
    </w:rPr>
  </w:style>
  <w:style w:type="character" w:styleId="FootnoteReference">
    <w:name w:val="footnote reference"/>
    <w:aliases w:val="de nota al pie,Ref,16 Point,Superscript 6 Point,ftref, BVI fnr,Footnote Reference 2,BVI fnr,Char Char Char Char Car Char,RSC_WP (footnote reference),Error-Fußnotenzeichen5,Error-Fußnotenzeichen6,Error-Fußnotenzeichen3"/>
    <w:uiPriority w:val="99"/>
    <w:rsid w:val="006F22DF"/>
    <w:rPr>
      <w:vertAlign w:val="superscript"/>
    </w:rPr>
  </w:style>
  <w:style w:type="paragraph" w:styleId="FootnoteText">
    <w:name w:val="footnote text"/>
    <w:aliases w:val="fn,footnote text,Footnote ak,Footnotes,ft,Footnote Text Char1,Footnote Text Char Char,fn Char Char,footnote text Char Char,Footnotes Char Char,Footnote ak Char Char,footnote text Char1,fn ca,Footnote Text Char1 Char Char,ADB,f"/>
    <w:basedOn w:val="Normal"/>
    <w:link w:val="FootnoteTextChar"/>
    <w:uiPriority w:val="99"/>
    <w:qFormat/>
    <w:rsid w:val="006F22DF"/>
    <w:pPr>
      <w:ind w:firstLine="567"/>
      <w:jc w:val="left"/>
    </w:pPr>
    <w:rPr>
      <w:sz w:val="16"/>
      <w:szCs w:val="18"/>
      <w:lang w:eastAsia="en-GB"/>
    </w:rPr>
  </w:style>
  <w:style w:type="character" w:customStyle="1" w:styleId="BalloonTextChar">
    <w:name w:val="Balloon Text Char"/>
    <w:link w:val="BalloonText"/>
    <w:uiPriority w:val="99"/>
    <w:semiHidden/>
    <w:rsid w:val="006F22DF"/>
    <w:rPr>
      <w:rFonts w:ascii="Tahoma" w:eastAsia="Calibri" w:hAnsi="Tahoma" w:cs="Tahoma"/>
      <w:sz w:val="16"/>
      <w:szCs w:val="16"/>
      <w:lang w:val="en-GB"/>
    </w:rPr>
  </w:style>
  <w:style w:type="numbering" w:customStyle="1" w:styleId="LegalHeadings">
    <w:name w:val="LegalHeadings"/>
    <w:uiPriority w:val="99"/>
    <w:rsid w:val="006F22DF"/>
    <w:pPr>
      <w:numPr>
        <w:numId w:val="2"/>
      </w:numPr>
    </w:pPr>
  </w:style>
  <w:style w:type="character" w:customStyle="1" w:styleId="BodyTextChar">
    <w:name w:val="Body Text Char"/>
    <w:link w:val="BodyText"/>
    <w:rsid w:val="006F22DF"/>
    <w:rPr>
      <w:rFonts w:ascii="Verdana" w:hAnsi="Verdana"/>
      <w:sz w:val="18"/>
      <w:szCs w:val="22"/>
      <w:lang w:val="en-GB"/>
    </w:rPr>
  </w:style>
  <w:style w:type="paragraph" w:styleId="BodyTextIndent">
    <w:name w:val="Body Text Indent"/>
    <w:basedOn w:val="Normal"/>
    <w:link w:val="BodyTextIndentChar"/>
    <w:uiPriority w:val="99"/>
    <w:semiHidden/>
    <w:unhideWhenUsed/>
    <w:rsid w:val="006F22DF"/>
    <w:pPr>
      <w:spacing w:after="120"/>
      <w:ind w:left="283"/>
    </w:pPr>
  </w:style>
  <w:style w:type="character" w:customStyle="1" w:styleId="BodyTextIndentChar">
    <w:name w:val="Body Text Indent Char"/>
    <w:link w:val="BodyTextIndent"/>
    <w:uiPriority w:val="99"/>
    <w:semiHidden/>
    <w:rsid w:val="006F22DF"/>
    <w:rPr>
      <w:rFonts w:ascii="Verdana" w:eastAsia="Calibri" w:hAnsi="Verdana" w:cs="Times New Roman"/>
      <w:sz w:val="18"/>
      <w:szCs w:val="22"/>
      <w:lang w:val="en-GB"/>
    </w:rPr>
  </w:style>
  <w:style w:type="paragraph" w:styleId="Bibliography">
    <w:name w:val="Bibliography"/>
    <w:basedOn w:val="Normal"/>
    <w:next w:val="Normal"/>
    <w:uiPriority w:val="49"/>
    <w:semiHidden/>
    <w:unhideWhenUsed/>
    <w:rsid w:val="006F22DF"/>
  </w:style>
  <w:style w:type="numbering" w:customStyle="1" w:styleId="ListBullets">
    <w:name w:val="ListBullets"/>
    <w:uiPriority w:val="99"/>
    <w:rsid w:val="006F22DF"/>
    <w:pPr>
      <w:numPr>
        <w:numId w:val="8"/>
      </w:numPr>
    </w:pPr>
  </w:style>
  <w:style w:type="table" w:styleId="TableGrid">
    <w:name w:val="Table Grid"/>
    <w:basedOn w:val="TableNormal"/>
    <w:uiPriority w:val="59"/>
    <w:rsid w:val="006F22D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uiPriority w:val="99"/>
    <w:rsid w:val="006F22DF"/>
    <w:rPr>
      <w:rFonts w:ascii="Verdana" w:eastAsia="Calibri" w:hAnsi="Verdana" w:cs="Times New Roman"/>
      <w:b/>
      <w:bCs/>
      <w:lang w:val="en-GB"/>
    </w:rPr>
  </w:style>
  <w:style w:type="character" w:customStyle="1" w:styleId="CommentTextChar">
    <w:name w:val="Comment Text Char"/>
    <w:link w:val="CommentText"/>
    <w:uiPriority w:val="99"/>
    <w:rsid w:val="006F22DF"/>
    <w:rPr>
      <w:rFonts w:ascii="Verdana" w:eastAsia="Calibri" w:hAnsi="Verdana" w:cs="Times New Roman"/>
      <w:lang w:val="en-GB"/>
    </w:rPr>
  </w:style>
  <w:style w:type="table" w:customStyle="1" w:styleId="WTOBox1">
    <w:name w:val="WTOBox1"/>
    <w:basedOn w:val="TableNormal"/>
    <w:uiPriority w:val="99"/>
    <w:rsid w:val="006F22DF"/>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paragraph" w:styleId="BlockText">
    <w:name w:val="Block Text"/>
    <w:basedOn w:val="Normal"/>
    <w:uiPriority w:val="99"/>
    <w:unhideWhenUsed/>
    <w:rsid w:val="006F22D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alloonText">
    <w:name w:val="Balloon Text"/>
    <w:basedOn w:val="Normal"/>
    <w:link w:val="BalloonTextChar"/>
    <w:uiPriority w:val="99"/>
    <w:semiHidden/>
    <w:unhideWhenUsed/>
    <w:rsid w:val="006F22DF"/>
    <w:rPr>
      <w:rFonts w:ascii="Tahoma" w:hAnsi="Tahoma" w:cs="Tahoma"/>
      <w:sz w:val="16"/>
      <w:szCs w:val="16"/>
    </w:rPr>
  </w:style>
  <w:style w:type="character" w:customStyle="1" w:styleId="EndnoteTextChar">
    <w:name w:val="Endnote Text Char"/>
    <w:link w:val="EndnoteText"/>
    <w:uiPriority w:val="49"/>
    <w:rsid w:val="006F22DF"/>
    <w:rPr>
      <w:rFonts w:ascii="Verdana" w:hAnsi="Verdana"/>
      <w:sz w:val="16"/>
      <w:lang w:val="en-GB" w:eastAsia="en-GB"/>
    </w:rPr>
  </w:style>
  <w:style w:type="paragraph" w:styleId="Header">
    <w:name w:val="header"/>
    <w:basedOn w:val="Normal"/>
    <w:link w:val="HeaderChar"/>
    <w:uiPriority w:val="3"/>
    <w:rsid w:val="006F22DF"/>
    <w:pPr>
      <w:tabs>
        <w:tab w:val="center" w:pos="4513"/>
        <w:tab w:val="right" w:pos="9027"/>
      </w:tabs>
      <w:jc w:val="left"/>
    </w:pPr>
    <w:rPr>
      <w:szCs w:val="18"/>
      <w:lang w:eastAsia="en-GB"/>
    </w:rPr>
  </w:style>
  <w:style w:type="paragraph" w:customStyle="1" w:styleId="FollowUp">
    <w:name w:val="FollowUp"/>
    <w:basedOn w:val="Normal"/>
    <w:link w:val="FollowUpChar"/>
    <w:uiPriority w:val="6"/>
    <w:qFormat/>
    <w:rsid w:val="006F22DF"/>
    <w:pPr>
      <w:spacing w:after="240"/>
      <w:ind w:left="720"/>
    </w:pPr>
    <w:rPr>
      <w:i/>
    </w:rPr>
  </w:style>
  <w:style w:type="paragraph" w:styleId="Footer">
    <w:name w:val="footer"/>
    <w:basedOn w:val="Normal"/>
    <w:link w:val="FooterChar"/>
    <w:uiPriority w:val="99"/>
    <w:rsid w:val="006F22DF"/>
    <w:pPr>
      <w:tabs>
        <w:tab w:val="center" w:pos="4513"/>
        <w:tab w:val="right" w:pos="9027"/>
      </w:tabs>
    </w:pPr>
    <w:rPr>
      <w:szCs w:val="18"/>
      <w:lang w:eastAsia="en-GB"/>
    </w:rPr>
  </w:style>
  <w:style w:type="character" w:customStyle="1" w:styleId="FollowUpChar">
    <w:name w:val="FollowUp Char"/>
    <w:link w:val="FollowUp"/>
    <w:uiPriority w:val="6"/>
    <w:rsid w:val="006F22DF"/>
    <w:rPr>
      <w:rFonts w:ascii="Verdana" w:hAnsi="Verdana"/>
      <w:i/>
      <w:sz w:val="18"/>
      <w:szCs w:val="22"/>
      <w:lang w:val="en-GB"/>
    </w:rPr>
  </w:style>
  <w:style w:type="table" w:customStyle="1" w:styleId="WTOTable1">
    <w:name w:val="WTOTable1"/>
    <w:basedOn w:val="TableNormal"/>
    <w:uiPriority w:val="99"/>
    <w:rsid w:val="006F22DF"/>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styleId="Caption">
    <w:name w:val="caption"/>
    <w:basedOn w:val="Normal"/>
    <w:next w:val="Normal"/>
    <w:uiPriority w:val="35"/>
    <w:qFormat/>
    <w:rsid w:val="006F22DF"/>
    <w:pPr>
      <w:keepNext/>
      <w:spacing w:before="120" w:after="120"/>
      <w:jc w:val="left"/>
    </w:pPr>
    <w:rPr>
      <w:rFonts w:eastAsia="Times New Roman"/>
      <w:b/>
      <w:bCs/>
      <w:color w:val="006283"/>
      <w:szCs w:val="20"/>
      <w:lang w:eastAsia="en-GB"/>
    </w:rPr>
  </w:style>
  <w:style w:type="character" w:styleId="CommentReference">
    <w:name w:val="annotation reference"/>
    <w:uiPriority w:val="99"/>
    <w:semiHidden/>
    <w:unhideWhenUsed/>
    <w:rsid w:val="006F22DF"/>
    <w:rPr>
      <w:sz w:val="16"/>
      <w:szCs w:val="16"/>
    </w:rPr>
  </w:style>
  <w:style w:type="paragraph" w:styleId="CommentText">
    <w:name w:val="annotation text"/>
    <w:basedOn w:val="Normal"/>
    <w:link w:val="CommentTextChar"/>
    <w:uiPriority w:val="99"/>
    <w:unhideWhenUsed/>
    <w:rsid w:val="006F22DF"/>
    <w:rPr>
      <w:sz w:val="20"/>
      <w:szCs w:val="20"/>
    </w:rPr>
  </w:style>
  <w:style w:type="character" w:customStyle="1" w:styleId="FooterChar">
    <w:name w:val="Footer Char"/>
    <w:link w:val="Footer"/>
    <w:uiPriority w:val="99"/>
    <w:rsid w:val="006F22DF"/>
    <w:rPr>
      <w:rFonts w:ascii="Verdana" w:hAnsi="Verdana"/>
      <w:sz w:val="18"/>
      <w:szCs w:val="18"/>
      <w:lang w:val="en-GB" w:eastAsia="en-GB"/>
    </w:rPr>
  </w:style>
  <w:style w:type="paragraph" w:styleId="CommentSubject">
    <w:name w:val="annotation subject"/>
    <w:basedOn w:val="CommentText"/>
    <w:next w:val="CommentText"/>
    <w:link w:val="CommentSubjectChar"/>
    <w:uiPriority w:val="99"/>
    <w:unhideWhenUsed/>
    <w:rsid w:val="006F22DF"/>
    <w:rPr>
      <w:b/>
      <w:bCs/>
    </w:rPr>
  </w:style>
  <w:style w:type="paragraph" w:customStyle="1" w:styleId="FootnoteQuotation">
    <w:name w:val="Footnote Quotation"/>
    <w:basedOn w:val="FootnoteText"/>
    <w:uiPriority w:val="5"/>
    <w:rsid w:val="006F22DF"/>
    <w:pPr>
      <w:ind w:left="567" w:right="567" w:firstLine="0"/>
    </w:pPr>
  </w:style>
  <w:style w:type="character" w:styleId="EndnoteReference">
    <w:name w:val="endnote reference"/>
    <w:uiPriority w:val="49"/>
    <w:rsid w:val="006F22DF"/>
    <w:rPr>
      <w:vertAlign w:val="superscript"/>
    </w:rPr>
  </w:style>
  <w:style w:type="paragraph" w:styleId="EndnoteText">
    <w:name w:val="endnote text"/>
    <w:basedOn w:val="FootnoteText"/>
    <w:link w:val="EndnoteTextChar"/>
    <w:uiPriority w:val="49"/>
    <w:rsid w:val="006F22DF"/>
    <w:rPr>
      <w:szCs w:val="20"/>
    </w:rPr>
  </w:style>
  <w:style w:type="character" w:customStyle="1" w:styleId="FootnoteTextChar">
    <w:name w:val="Footnote Text Char"/>
    <w:aliases w:val="fn Char,footnote text Char,Footnote ak Char,Footnotes Char,ft Char,Footnote Text Char1 Char,Footnote Text Char Char Char,fn Char Char Char,footnote text Char Char Char,Footnotes Char Char Char,Footnote ak Char Char Char,fn ca Char"/>
    <w:link w:val="FootnoteText"/>
    <w:uiPriority w:val="99"/>
    <w:rsid w:val="006F22DF"/>
    <w:rPr>
      <w:rFonts w:ascii="Verdana" w:hAnsi="Verdana"/>
      <w:sz w:val="16"/>
      <w:szCs w:val="18"/>
      <w:lang w:val="en-GB" w:eastAsia="en-GB"/>
    </w:rPr>
  </w:style>
  <w:style w:type="paragraph" w:styleId="EnvelopeAddress">
    <w:name w:val="envelope address"/>
    <w:basedOn w:val="Normal"/>
    <w:uiPriority w:val="99"/>
    <w:semiHidden/>
    <w:unhideWhenUsed/>
    <w:rsid w:val="006F22D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6F22DF"/>
    <w:rPr>
      <w:rFonts w:ascii="Cambria" w:eastAsia="Times New Roman" w:hAnsi="Cambria"/>
      <w:sz w:val="20"/>
      <w:szCs w:val="20"/>
    </w:rPr>
  </w:style>
  <w:style w:type="paragraph" w:styleId="Index1">
    <w:name w:val="index 1"/>
    <w:basedOn w:val="Normal"/>
    <w:next w:val="Normal"/>
    <w:autoRedefine/>
    <w:uiPriority w:val="99"/>
    <w:semiHidden/>
    <w:unhideWhenUsed/>
    <w:rsid w:val="006F22DF"/>
    <w:pPr>
      <w:ind w:left="180" w:hanging="180"/>
    </w:pPr>
  </w:style>
  <w:style w:type="paragraph" w:styleId="IndexHeading">
    <w:name w:val="index heading"/>
    <w:basedOn w:val="Normal"/>
    <w:next w:val="Index1"/>
    <w:uiPriority w:val="99"/>
    <w:semiHidden/>
    <w:unhideWhenUsed/>
    <w:rsid w:val="006F22DF"/>
    <w:rPr>
      <w:rFonts w:ascii="Cambria" w:eastAsia="Times New Roman" w:hAnsi="Cambria"/>
      <w:b/>
      <w:bCs/>
    </w:rPr>
  </w:style>
  <w:style w:type="character" w:styleId="LineNumber">
    <w:name w:val="line number"/>
    <w:uiPriority w:val="99"/>
    <w:semiHidden/>
    <w:unhideWhenUsed/>
    <w:rsid w:val="006F22DF"/>
  </w:style>
  <w:style w:type="paragraph" w:styleId="List">
    <w:name w:val="List"/>
    <w:basedOn w:val="Normal"/>
    <w:uiPriority w:val="99"/>
    <w:unhideWhenUsed/>
    <w:rsid w:val="006F22DF"/>
    <w:pPr>
      <w:ind w:left="283" w:hanging="283"/>
      <w:contextualSpacing/>
    </w:pPr>
  </w:style>
  <w:style w:type="paragraph" w:styleId="List2">
    <w:name w:val="List 2"/>
    <w:basedOn w:val="Normal"/>
    <w:uiPriority w:val="99"/>
    <w:semiHidden/>
    <w:unhideWhenUsed/>
    <w:rsid w:val="006F22DF"/>
    <w:pPr>
      <w:ind w:left="566" w:hanging="283"/>
      <w:contextualSpacing/>
    </w:pPr>
  </w:style>
  <w:style w:type="paragraph" w:styleId="List3">
    <w:name w:val="List 3"/>
    <w:basedOn w:val="Normal"/>
    <w:uiPriority w:val="99"/>
    <w:semiHidden/>
    <w:unhideWhenUsed/>
    <w:rsid w:val="006F22DF"/>
    <w:pPr>
      <w:ind w:left="849" w:hanging="283"/>
      <w:contextualSpacing/>
    </w:pPr>
  </w:style>
  <w:style w:type="paragraph" w:styleId="List4">
    <w:name w:val="List 4"/>
    <w:basedOn w:val="Normal"/>
    <w:uiPriority w:val="99"/>
    <w:semiHidden/>
    <w:unhideWhenUsed/>
    <w:rsid w:val="006F22DF"/>
    <w:pPr>
      <w:ind w:left="1132" w:hanging="283"/>
      <w:contextualSpacing/>
    </w:pPr>
  </w:style>
  <w:style w:type="paragraph" w:styleId="List5">
    <w:name w:val="List 5"/>
    <w:basedOn w:val="Normal"/>
    <w:uiPriority w:val="99"/>
    <w:semiHidden/>
    <w:unhideWhenUsed/>
    <w:rsid w:val="006F22DF"/>
    <w:pPr>
      <w:ind w:left="1415" w:hanging="283"/>
      <w:contextualSpacing/>
    </w:pPr>
  </w:style>
  <w:style w:type="paragraph" w:styleId="ListBullet">
    <w:name w:val="List Bullet"/>
    <w:aliases w:val="RSC_WP (bullet list)"/>
    <w:basedOn w:val="Normal"/>
    <w:uiPriority w:val="99"/>
    <w:rsid w:val="006F22DF"/>
    <w:pPr>
      <w:numPr>
        <w:numId w:val="8"/>
      </w:numPr>
      <w:spacing w:after="240"/>
    </w:pPr>
  </w:style>
  <w:style w:type="paragraph" w:styleId="ListBullet2">
    <w:name w:val="List Bullet 2"/>
    <w:basedOn w:val="Normal"/>
    <w:uiPriority w:val="1"/>
    <w:rsid w:val="006F22DF"/>
    <w:pPr>
      <w:numPr>
        <w:ilvl w:val="1"/>
        <w:numId w:val="8"/>
      </w:numPr>
      <w:spacing w:after="240"/>
    </w:pPr>
  </w:style>
  <w:style w:type="paragraph" w:styleId="ListBullet3">
    <w:name w:val="List Bullet 3"/>
    <w:basedOn w:val="Normal"/>
    <w:uiPriority w:val="1"/>
    <w:rsid w:val="006F22DF"/>
    <w:pPr>
      <w:numPr>
        <w:ilvl w:val="2"/>
        <w:numId w:val="8"/>
      </w:numPr>
      <w:spacing w:after="240"/>
    </w:pPr>
  </w:style>
  <w:style w:type="paragraph" w:styleId="ListBullet4">
    <w:name w:val="List Bullet 4"/>
    <w:basedOn w:val="Normal"/>
    <w:uiPriority w:val="1"/>
    <w:rsid w:val="006F22DF"/>
    <w:pPr>
      <w:numPr>
        <w:ilvl w:val="3"/>
        <w:numId w:val="8"/>
      </w:numPr>
      <w:spacing w:after="240"/>
    </w:pPr>
  </w:style>
  <w:style w:type="paragraph" w:styleId="ListBullet5">
    <w:name w:val="List Bullet 5"/>
    <w:basedOn w:val="Normal"/>
    <w:uiPriority w:val="1"/>
    <w:rsid w:val="006F22DF"/>
    <w:pPr>
      <w:numPr>
        <w:ilvl w:val="4"/>
        <w:numId w:val="8"/>
      </w:numPr>
      <w:spacing w:after="240"/>
    </w:pPr>
  </w:style>
  <w:style w:type="paragraph" w:styleId="ListNumber">
    <w:name w:val="List Number"/>
    <w:basedOn w:val="Normal"/>
    <w:uiPriority w:val="49"/>
    <w:semiHidden/>
    <w:unhideWhenUsed/>
    <w:rsid w:val="006F22DF"/>
    <w:pPr>
      <w:numPr>
        <w:numId w:val="3"/>
      </w:numPr>
      <w:contextualSpacing/>
    </w:pPr>
  </w:style>
  <w:style w:type="paragraph" w:styleId="ListNumber2">
    <w:name w:val="List Number 2"/>
    <w:basedOn w:val="Normal"/>
    <w:uiPriority w:val="49"/>
    <w:semiHidden/>
    <w:unhideWhenUsed/>
    <w:rsid w:val="006F22DF"/>
    <w:pPr>
      <w:numPr>
        <w:numId w:val="4"/>
      </w:numPr>
      <w:contextualSpacing/>
    </w:pPr>
  </w:style>
  <w:style w:type="paragraph" w:styleId="ListNumber3">
    <w:name w:val="List Number 3"/>
    <w:basedOn w:val="Normal"/>
    <w:uiPriority w:val="49"/>
    <w:semiHidden/>
    <w:unhideWhenUsed/>
    <w:rsid w:val="006F22DF"/>
    <w:pPr>
      <w:numPr>
        <w:numId w:val="5"/>
      </w:numPr>
      <w:contextualSpacing/>
    </w:pPr>
  </w:style>
  <w:style w:type="paragraph" w:styleId="ListNumber4">
    <w:name w:val="List Number 4"/>
    <w:basedOn w:val="Normal"/>
    <w:uiPriority w:val="49"/>
    <w:semiHidden/>
    <w:unhideWhenUsed/>
    <w:rsid w:val="006F22DF"/>
    <w:pPr>
      <w:numPr>
        <w:numId w:val="6"/>
      </w:numPr>
      <w:contextualSpacing/>
    </w:pPr>
  </w:style>
  <w:style w:type="paragraph" w:styleId="ListNumber5">
    <w:name w:val="List Number 5"/>
    <w:basedOn w:val="Normal"/>
    <w:uiPriority w:val="49"/>
    <w:semiHidden/>
    <w:unhideWhenUsed/>
    <w:rsid w:val="006F22DF"/>
    <w:pPr>
      <w:numPr>
        <w:numId w:val="7"/>
      </w:numPr>
      <w:contextualSpacing/>
    </w:pPr>
  </w:style>
  <w:style w:type="paragraph" w:styleId="MacroText">
    <w:name w:val="macro"/>
    <w:link w:val="MacroTextChar"/>
    <w:uiPriority w:val="99"/>
    <w:semiHidden/>
    <w:unhideWhenUsed/>
    <w:rsid w:val="006F22D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HeaderChar">
    <w:name w:val="Header Char"/>
    <w:link w:val="Header"/>
    <w:uiPriority w:val="3"/>
    <w:rsid w:val="006F22DF"/>
    <w:rPr>
      <w:rFonts w:ascii="Verdana" w:hAnsi="Verdana"/>
      <w:sz w:val="18"/>
      <w:szCs w:val="18"/>
      <w:lang w:val="en-GB" w:eastAsia="en-GB"/>
    </w:rPr>
  </w:style>
  <w:style w:type="paragraph" w:styleId="NormalIndent">
    <w:name w:val="Normal Indent"/>
    <w:basedOn w:val="Normal"/>
    <w:uiPriority w:val="99"/>
    <w:semiHidden/>
    <w:unhideWhenUsed/>
    <w:rsid w:val="006F22DF"/>
    <w:pPr>
      <w:ind w:left="720"/>
    </w:pPr>
  </w:style>
  <w:style w:type="character" w:styleId="PageNumber">
    <w:name w:val="page number"/>
    <w:uiPriority w:val="99"/>
    <w:semiHidden/>
    <w:unhideWhenUsed/>
    <w:rsid w:val="006F22DF"/>
  </w:style>
  <w:style w:type="paragraph" w:styleId="Signature">
    <w:name w:val="Signature"/>
    <w:basedOn w:val="Normal"/>
    <w:link w:val="SignatureChar"/>
    <w:uiPriority w:val="99"/>
    <w:semiHidden/>
    <w:unhideWhenUsed/>
    <w:rsid w:val="006F22DF"/>
    <w:pPr>
      <w:ind w:left="4252"/>
    </w:pPr>
  </w:style>
  <w:style w:type="character" w:customStyle="1" w:styleId="Heading1Char">
    <w:name w:val="Heading 1 Char"/>
    <w:link w:val="Heading1"/>
    <w:uiPriority w:val="2"/>
    <w:rsid w:val="006F22DF"/>
    <w:rPr>
      <w:rFonts w:ascii="Verdana" w:eastAsia="Times New Roman" w:hAnsi="Verdana"/>
      <w:b/>
      <w:bCs/>
      <w:caps/>
      <w:color w:val="006283"/>
      <w:sz w:val="18"/>
      <w:szCs w:val="28"/>
      <w:lang w:val="en-GB"/>
    </w:rPr>
  </w:style>
  <w:style w:type="paragraph" w:styleId="BodyText2">
    <w:name w:val="Body Text 2"/>
    <w:basedOn w:val="Normal"/>
    <w:link w:val="BodyText2Char"/>
    <w:uiPriority w:val="1"/>
    <w:qFormat/>
    <w:rsid w:val="006F22DF"/>
    <w:pPr>
      <w:numPr>
        <w:ilvl w:val="7"/>
        <w:numId w:val="2"/>
      </w:numPr>
      <w:spacing w:after="240"/>
    </w:pPr>
  </w:style>
  <w:style w:type="character" w:customStyle="1" w:styleId="BodyText2Char">
    <w:name w:val="Body Text 2 Char"/>
    <w:link w:val="BodyText2"/>
    <w:uiPriority w:val="1"/>
    <w:rsid w:val="006F22DF"/>
    <w:rPr>
      <w:rFonts w:ascii="Verdana" w:hAnsi="Verdana"/>
      <w:sz w:val="18"/>
      <w:szCs w:val="22"/>
      <w:lang w:val="en-GB"/>
    </w:rPr>
  </w:style>
  <w:style w:type="paragraph" w:styleId="BodyText3">
    <w:name w:val="Body Text 3"/>
    <w:basedOn w:val="Normal"/>
    <w:link w:val="BodyText3Char"/>
    <w:uiPriority w:val="1"/>
    <w:qFormat/>
    <w:rsid w:val="006F22DF"/>
    <w:pPr>
      <w:numPr>
        <w:ilvl w:val="8"/>
        <w:numId w:val="2"/>
      </w:numPr>
      <w:spacing w:after="240"/>
    </w:pPr>
    <w:rPr>
      <w:szCs w:val="16"/>
    </w:rPr>
  </w:style>
  <w:style w:type="character" w:customStyle="1" w:styleId="BodyText3Char">
    <w:name w:val="Body Text 3 Char"/>
    <w:link w:val="BodyText3"/>
    <w:uiPriority w:val="1"/>
    <w:rsid w:val="006F22DF"/>
    <w:rPr>
      <w:rFonts w:ascii="Verdana" w:hAnsi="Verdana"/>
      <w:sz w:val="18"/>
      <w:szCs w:val="16"/>
      <w:lang w:val="en-GB"/>
    </w:rPr>
  </w:style>
  <w:style w:type="paragraph" w:styleId="BodyTextFirstIndent">
    <w:name w:val="Body Text First Indent"/>
    <w:basedOn w:val="BodyText"/>
    <w:link w:val="BodyTextFirstIndentChar"/>
    <w:uiPriority w:val="99"/>
    <w:semiHidden/>
    <w:unhideWhenUsed/>
    <w:rsid w:val="006F22DF"/>
    <w:pPr>
      <w:numPr>
        <w:ilvl w:val="0"/>
        <w:numId w:val="0"/>
      </w:numPr>
      <w:spacing w:after="0"/>
      <w:ind w:firstLine="360"/>
    </w:pPr>
  </w:style>
  <w:style w:type="table" w:customStyle="1" w:styleId="WTOTable2">
    <w:name w:val="WTOTable2"/>
    <w:basedOn w:val="TableNormal"/>
    <w:uiPriority w:val="99"/>
    <w:rsid w:val="006F22DF"/>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BodyTextFirstIndentChar">
    <w:name w:val="Body Text First Indent Char"/>
    <w:link w:val="BodyTextFirstIndent"/>
    <w:uiPriority w:val="99"/>
    <w:semiHidden/>
    <w:rsid w:val="006F22DF"/>
    <w:rPr>
      <w:rFonts w:ascii="Verdana" w:eastAsia="Calibri" w:hAnsi="Verdana" w:cs="Times New Roman"/>
      <w:sz w:val="18"/>
      <w:szCs w:val="22"/>
      <w:lang w:val="en-GB"/>
    </w:rPr>
  </w:style>
  <w:style w:type="paragraph" w:styleId="BodyTextFirstIndent2">
    <w:name w:val="Body Text First Indent 2"/>
    <w:basedOn w:val="BodyTextIndent"/>
    <w:link w:val="BodyTextFirstIndent2Char"/>
    <w:uiPriority w:val="99"/>
    <w:unhideWhenUsed/>
    <w:rsid w:val="006F22DF"/>
    <w:pPr>
      <w:spacing w:after="0"/>
      <w:ind w:left="360" w:firstLine="360"/>
    </w:pPr>
  </w:style>
  <w:style w:type="character" w:customStyle="1" w:styleId="current-selection">
    <w:name w:val="current-selection"/>
    <w:rsid w:val="00600AE1"/>
  </w:style>
  <w:style w:type="character" w:customStyle="1" w:styleId="BodyTextFirstIndent2Char">
    <w:name w:val="Body Text First Indent 2 Char"/>
    <w:link w:val="BodyTextFirstIndent2"/>
    <w:uiPriority w:val="99"/>
    <w:rsid w:val="006F22DF"/>
    <w:rPr>
      <w:rFonts w:ascii="Verdana" w:eastAsia="Calibri" w:hAnsi="Verdana" w:cs="Times New Roman"/>
      <w:sz w:val="18"/>
      <w:szCs w:val="22"/>
      <w:lang w:val="en-GB"/>
    </w:rPr>
  </w:style>
  <w:style w:type="paragraph" w:styleId="BodyTextIndent2">
    <w:name w:val="Body Text Indent 2"/>
    <w:basedOn w:val="Normal"/>
    <w:link w:val="BodyTextIndent2Char"/>
    <w:uiPriority w:val="99"/>
    <w:semiHidden/>
    <w:unhideWhenUsed/>
    <w:rsid w:val="006F22DF"/>
    <w:pPr>
      <w:spacing w:after="120" w:line="480" w:lineRule="auto"/>
      <w:ind w:left="283"/>
    </w:pPr>
  </w:style>
  <w:style w:type="character" w:customStyle="1" w:styleId="BodyTextIndent2Char">
    <w:name w:val="Body Text Indent 2 Char"/>
    <w:link w:val="BodyTextIndent2"/>
    <w:uiPriority w:val="99"/>
    <w:semiHidden/>
    <w:rsid w:val="006F22DF"/>
    <w:rPr>
      <w:rFonts w:ascii="Verdana" w:eastAsia="Calibri" w:hAnsi="Verdana" w:cs="Times New Roman"/>
      <w:sz w:val="18"/>
      <w:szCs w:val="22"/>
      <w:lang w:val="en-GB"/>
    </w:rPr>
  </w:style>
  <w:style w:type="paragraph" w:styleId="BodyTextIndent3">
    <w:name w:val="Body Text Indent 3"/>
    <w:basedOn w:val="Normal"/>
    <w:link w:val="BodyTextIndent3Char"/>
    <w:uiPriority w:val="99"/>
    <w:semiHidden/>
    <w:unhideWhenUsed/>
    <w:rsid w:val="006F22DF"/>
    <w:pPr>
      <w:spacing w:after="120"/>
      <w:ind w:left="283"/>
    </w:pPr>
    <w:rPr>
      <w:sz w:val="16"/>
      <w:szCs w:val="16"/>
    </w:rPr>
  </w:style>
  <w:style w:type="character" w:customStyle="1" w:styleId="BodyTextIndent3Char">
    <w:name w:val="Body Text Indent 3 Char"/>
    <w:link w:val="BodyTextIndent3"/>
    <w:uiPriority w:val="99"/>
    <w:semiHidden/>
    <w:rsid w:val="006F22DF"/>
    <w:rPr>
      <w:rFonts w:ascii="Verdana" w:eastAsia="Calibri" w:hAnsi="Verdana" w:cs="Times New Roman"/>
      <w:sz w:val="16"/>
      <w:szCs w:val="16"/>
      <w:lang w:val="en-GB"/>
    </w:rPr>
  </w:style>
  <w:style w:type="character" w:styleId="BookTitle">
    <w:name w:val="Book Title"/>
    <w:uiPriority w:val="99"/>
    <w:qFormat/>
    <w:rsid w:val="006F22DF"/>
    <w:rPr>
      <w:b/>
      <w:bCs/>
      <w:smallCaps/>
      <w:spacing w:val="5"/>
    </w:rPr>
  </w:style>
  <w:style w:type="paragraph" w:styleId="Closing">
    <w:name w:val="Closing"/>
    <w:basedOn w:val="Normal"/>
    <w:link w:val="ClosingChar"/>
    <w:uiPriority w:val="99"/>
    <w:semiHidden/>
    <w:unhideWhenUsed/>
    <w:rsid w:val="006F22DF"/>
    <w:pPr>
      <w:ind w:left="4252"/>
    </w:pPr>
  </w:style>
  <w:style w:type="character" w:customStyle="1" w:styleId="ClosingChar">
    <w:name w:val="Closing Char"/>
    <w:link w:val="Closing"/>
    <w:uiPriority w:val="99"/>
    <w:semiHidden/>
    <w:rsid w:val="006F22DF"/>
    <w:rPr>
      <w:rFonts w:ascii="Verdana" w:eastAsia="Calibri" w:hAnsi="Verdana" w:cs="Times New Roman"/>
      <w:sz w:val="18"/>
      <w:szCs w:val="22"/>
      <w:lang w:val="en-GB"/>
    </w:rPr>
  </w:style>
  <w:style w:type="paragraph" w:styleId="Date">
    <w:name w:val="Date"/>
    <w:basedOn w:val="Normal"/>
    <w:next w:val="Normal"/>
    <w:link w:val="DateChar"/>
    <w:uiPriority w:val="99"/>
    <w:semiHidden/>
    <w:unhideWhenUsed/>
    <w:rsid w:val="006F22DF"/>
  </w:style>
  <w:style w:type="character" w:customStyle="1" w:styleId="DateChar">
    <w:name w:val="Date Char"/>
    <w:link w:val="Date"/>
    <w:uiPriority w:val="99"/>
    <w:semiHidden/>
    <w:rsid w:val="006F22DF"/>
    <w:rPr>
      <w:rFonts w:ascii="Verdana" w:eastAsia="Calibri" w:hAnsi="Verdana" w:cs="Times New Roman"/>
      <w:sz w:val="18"/>
      <w:szCs w:val="22"/>
      <w:lang w:val="en-GB"/>
    </w:rPr>
  </w:style>
  <w:style w:type="paragraph" w:styleId="DocumentMap">
    <w:name w:val="Document Map"/>
    <w:basedOn w:val="Normal"/>
    <w:link w:val="DocumentMapChar"/>
    <w:uiPriority w:val="99"/>
    <w:semiHidden/>
    <w:unhideWhenUsed/>
    <w:rsid w:val="006F22DF"/>
    <w:rPr>
      <w:rFonts w:ascii="Tahoma" w:hAnsi="Tahoma" w:cs="Tahoma"/>
      <w:sz w:val="16"/>
      <w:szCs w:val="16"/>
    </w:rPr>
  </w:style>
  <w:style w:type="character" w:customStyle="1" w:styleId="DocumentMapChar">
    <w:name w:val="Document Map Char"/>
    <w:link w:val="DocumentMap"/>
    <w:uiPriority w:val="99"/>
    <w:semiHidden/>
    <w:rsid w:val="006F22DF"/>
    <w:rPr>
      <w:rFonts w:ascii="Tahoma" w:eastAsia="Calibri" w:hAnsi="Tahoma" w:cs="Tahoma"/>
      <w:sz w:val="16"/>
      <w:szCs w:val="16"/>
      <w:lang w:val="en-GB"/>
    </w:rPr>
  </w:style>
  <w:style w:type="paragraph" w:styleId="E-mailSignature">
    <w:name w:val="E-mail Signature"/>
    <w:basedOn w:val="Normal"/>
    <w:link w:val="E-mailSignatureChar"/>
    <w:uiPriority w:val="99"/>
    <w:semiHidden/>
    <w:unhideWhenUsed/>
    <w:rsid w:val="006F22DF"/>
  </w:style>
  <w:style w:type="character" w:customStyle="1" w:styleId="E-mailSignatureChar">
    <w:name w:val="E-mail Signature Char"/>
    <w:link w:val="E-mailSignature"/>
    <w:uiPriority w:val="99"/>
    <w:semiHidden/>
    <w:rsid w:val="006F22DF"/>
    <w:rPr>
      <w:rFonts w:ascii="Verdana" w:eastAsia="Calibri" w:hAnsi="Verdana" w:cs="Times New Roman"/>
      <w:sz w:val="18"/>
      <w:szCs w:val="22"/>
      <w:lang w:val="en-GB"/>
    </w:rPr>
  </w:style>
  <w:style w:type="character" w:styleId="Emphasis">
    <w:name w:val="Emphasis"/>
    <w:uiPriority w:val="20"/>
    <w:qFormat/>
    <w:rsid w:val="006F22DF"/>
    <w:rPr>
      <w:i/>
      <w:iCs/>
    </w:rPr>
  </w:style>
  <w:style w:type="character" w:styleId="FollowedHyperlink">
    <w:name w:val="FollowedHyperlink"/>
    <w:uiPriority w:val="9"/>
    <w:unhideWhenUsed/>
    <w:rsid w:val="006F22DF"/>
    <w:rPr>
      <w:color w:val="800080"/>
      <w:u w:val="single"/>
    </w:rPr>
  </w:style>
  <w:style w:type="character" w:customStyle="1" w:styleId="Heading3Char">
    <w:name w:val="Heading 3 Char"/>
    <w:link w:val="Heading3"/>
    <w:uiPriority w:val="9"/>
    <w:rsid w:val="006F22DF"/>
    <w:rPr>
      <w:rFonts w:ascii="Verdana" w:eastAsia="Times New Roman" w:hAnsi="Verdana"/>
      <w:b/>
      <w:bCs/>
      <w:color w:val="006283"/>
      <w:sz w:val="18"/>
      <w:szCs w:val="22"/>
      <w:lang w:val="en-GB"/>
    </w:rPr>
  </w:style>
  <w:style w:type="character" w:customStyle="1" w:styleId="Heading4Char">
    <w:name w:val="Heading 4 Char"/>
    <w:link w:val="Heading4"/>
    <w:uiPriority w:val="2"/>
    <w:rsid w:val="006F22D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6F22DF"/>
    <w:rPr>
      <w:rFonts w:ascii="Verdana" w:eastAsia="Times New Roman" w:hAnsi="Verdana"/>
      <w:b/>
      <w:color w:val="006283"/>
      <w:sz w:val="18"/>
      <w:szCs w:val="22"/>
      <w:lang w:val="en-GB"/>
    </w:rPr>
  </w:style>
  <w:style w:type="character" w:customStyle="1" w:styleId="Heading6Char">
    <w:name w:val="Heading 6 Char"/>
    <w:link w:val="Heading6"/>
    <w:uiPriority w:val="2"/>
    <w:rsid w:val="006F22DF"/>
    <w:rPr>
      <w:rFonts w:ascii="Verdana" w:eastAsia="Times New Roman" w:hAnsi="Verdana"/>
      <w:b/>
      <w:iCs/>
      <w:color w:val="006283"/>
      <w:sz w:val="18"/>
      <w:szCs w:val="22"/>
      <w:lang w:val="en-GB"/>
    </w:rPr>
  </w:style>
  <w:style w:type="character" w:customStyle="1" w:styleId="Heading7Char">
    <w:name w:val="Heading 7 Char"/>
    <w:link w:val="Heading7"/>
    <w:uiPriority w:val="2"/>
    <w:rsid w:val="006F22DF"/>
    <w:rPr>
      <w:rFonts w:ascii="Verdana" w:eastAsia="Times New Roman" w:hAnsi="Verdana"/>
      <w:b/>
      <w:iCs/>
      <w:color w:val="006283"/>
      <w:sz w:val="18"/>
      <w:szCs w:val="22"/>
      <w:lang w:val="en-GB"/>
    </w:rPr>
  </w:style>
  <w:style w:type="character" w:customStyle="1" w:styleId="Heading8Char">
    <w:name w:val="Heading 8 Char"/>
    <w:link w:val="Heading8"/>
    <w:uiPriority w:val="2"/>
    <w:rsid w:val="006F22DF"/>
    <w:rPr>
      <w:rFonts w:ascii="Verdana" w:eastAsia="Times New Roman" w:hAnsi="Verdana"/>
      <w:b/>
      <w:i/>
      <w:color w:val="006283"/>
      <w:sz w:val="18"/>
      <w:lang w:val="en-GB"/>
    </w:rPr>
  </w:style>
  <w:style w:type="character" w:customStyle="1" w:styleId="Heading9Char">
    <w:name w:val="Heading 9 Char"/>
    <w:link w:val="Heading9"/>
    <w:uiPriority w:val="2"/>
    <w:rsid w:val="006F22DF"/>
    <w:rPr>
      <w:rFonts w:ascii="Verdana" w:eastAsia="Times New Roman" w:hAnsi="Verdana"/>
      <w:b/>
      <w:iCs/>
      <w:color w:val="006283"/>
      <w:sz w:val="18"/>
      <w:u w:val="single"/>
      <w:lang w:val="en-GB"/>
    </w:rPr>
  </w:style>
  <w:style w:type="character" w:styleId="HTMLAcronym">
    <w:name w:val="HTML Acronym"/>
    <w:uiPriority w:val="99"/>
    <w:semiHidden/>
    <w:unhideWhenUsed/>
    <w:rsid w:val="006F22DF"/>
  </w:style>
  <w:style w:type="paragraph" w:styleId="HTMLAddress">
    <w:name w:val="HTML Address"/>
    <w:basedOn w:val="Normal"/>
    <w:link w:val="HTMLAddressChar"/>
    <w:uiPriority w:val="99"/>
    <w:semiHidden/>
    <w:unhideWhenUsed/>
    <w:rsid w:val="006F22DF"/>
    <w:rPr>
      <w:i/>
      <w:iCs/>
    </w:rPr>
  </w:style>
  <w:style w:type="character" w:customStyle="1" w:styleId="HTMLAddressChar">
    <w:name w:val="HTML Address Char"/>
    <w:link w:val="HTMLAddress"/>
    <w:uiPriority w:val="99"/>
    <w:semiHidden/>
    <w:rsid w:val="006F22DF"/>
    <w:rPr>
      <w:rFonts w:ascii="Verdana" w:eastAsia="Calibri" w:hAnsi="Verdana" w:cs="Times New Roman"/>
      <w:i/>
      <w:iCs/>
      <w:sz w:val="18"/>
      <w:szCs w:val="22"/>
      <w:lang w:val="en-GB"/>
    </w:rPr>
  </w:style>
  <w:style w:type="character" w:styleId="HTMLCite">
    <w:name w:val="HTML Cite"/>
    <w:uiPriority w:val="99"/>
    <w:semiHidden/>
    <w:unhideWhenUsed/>
    <w:rsid w:val="006F22DF"/>
    <w:rPr>
      <w:i/>
      <w:iCs/>
    </w:rPr>
  </w:style>
  <w:style w:type="character" w:styleId="HTMLCode">
    <w:name w:val="HTML Code"/>
    <w:uiPriority w:val="99"/>
    <w:semiHidden/>
    <w:unhideWhenUsed/>
    <w:rsid w:val="006F22DF"/>
    <w:rPr>
      <w:rFonts w:ascii="Consolas" w:hAnsi="Consolas" w:cs="Consolas"/>
      <w:sz w:val="20"/>
      <w:szCs w:val="20"/>
    </w:rPr>
  </w:style>
  <w:style w:type="character" w:styleId="HTMLDefinition">
    <w:name w:val="HTML Definition"/>
    <w:uiPriority w:val="99"/>
    <w:semiHidden/>
    <w:unhideWhenUsed/>
    <w:rsid w:val="006F22DF"/>
    <w:rPr>
      <w:i/>
      <w:iCs/>
    </w:rPr>
  </w:style>
  <w:style w:type="character" w:styleId="HTMLKeyboard">
    <w:name w:val="HTML Keyboard"/>
    <w:uiPriority w:val="99"/>
    <w:semiHidden/>
    <w:unhideWhenUsed/>
    <w:rsid w:val="006F22DF"/>
    <w:rPr>
      <w:rFonts w:ascii="Consolas" w:hAnsi="Consolas" w:cs="Consolas"/>
      <w:sz w:val="20"/>
      <w:szCs w:val="20"/>
    </w:rPr>
  </w:style>
  <w:style w:type="paragraph" w:styleId="HTMLPreformatted">
    <w:name w:val="HTML Preformatted"/>
    <w:basedOn w:val="Normal"/>
    <w:link w:val="HTMLPreformattedChar"/>
    <w:uiPriority w:val="99"/>
    <w:semiHidden/>
    <w:unhideWhenUsed/>
    <w:rsid w:val="006F22DF"/>
    <w:rPr>
      <w:rFonts w:ascii="Consolas" w:hAnsi="Consolas" w:cs="Consolas"/>
      <w:sz w:val="20"/>
      <w:szCs w:val="20"/>
    </w:rPr>
  </w:style>
  <w:style w:type="character" w:customStyle="1" w:styleId="HTMLPreformattedChar">
    <w:name w:val="HTML Preformatted Char"/>
    <w:link w:val="HTMLPreformatted"/>
    <w:uiPriority w:val="99"/>
    <w:semiHidden/>
    <w:rsid w:val="006F22DF"/>
    <w:rPr>
      <w:rFonts w:ascii="Consolas" w:eastAsia="Calibri" w:hAnsi="Consolas" w:cs="Consolas"/>
      <w:lang w:val="en-GB"/>
    </w:rPr>
  </w:style>
  <w:style w:type="character" w:styleId="HTMLSample">
    <w:name w:val="HTML Sample"/>
    <w:uiPriority w:val="99"/>
    <w:semiHidden/>
    <w:unhideWhenUsed/>
    <w:rsid w:val="006F22DF"/>
    <w:rPr>
      <w:rFonts w:ascii="Consolas" w:hAnsi="Consolas" w:cs="Consolas"/>
      <w:sz w:val="24"/>
      <w:szCs w:val="24"/>
    </w:rPr>
  </w:style>
  <w:style w:type="character" w:styleId="HTMLTypewriter">
    <w:name w:val="HTML Typewriter"/>
    <w:uiPriority w:val="99"/>
    <w:semiHidden/>
    <w:unhideWhenUsed/>
    <w:rsid w:val="006F22DF"/>
    <w:rPr>
      <w:rFonts w:ascii="Consolas" w:hAnsi="Consolas" w:cs="Consolas"/>
      <w:sz w:val="20"/>
      <w:szCs w:val="20"/>
    </w:rPr>
  </w:style>
  <w:style w:type="character" w:styleId="HTMLVariable">
    <w:name w:val="HTML Variable"/>
    <w:uiPriority w:val="99"/>
    <w:semiHidden/>
    <w:unhideWhenUsed/>
    <w:rsid w:val="006F22DF"/>
    <w:rPr>
      <w:i/>
      <w:iCs/>
    </w:rPr>
  </w:style>
  <w:style w:type="paragraph" w:styleId="Index2">
    <w:name w:val="index 2"/>
    <w:basedOn w:val="Normal"/>
    <w:next w:val="Normal"/>
    <w:autoRedefine/>
    <w:uiPriority w:val="99"/>
    <w:semiHidden/>
    <w:unhideWhenUsed/>
    <w:rsid w:val="006F22DF"/>
    <w:pPr>
      <w:ind w:left="360" w:hanging="180"/>
    </w:pPr>
  </w:style>
  <w:style w:type="paragraph" w:styleId="Index3">
    <w:name w:val="index 3"/>
    <w:basedOn w:val="Normal"/>
    <w:next w:val="Normal"/>
    <w:autoRedefine/>
    <w:uiPriority w:val="99"/>
    <w:semiHidden/>
    <w:unhideWhenUsed/>
    <w:rsid w:val="006F22DF"/>
    <w:pPr>
      <w:ind w:left="540" w:hanging="180"/>
    </w:pPr>
  </w:style>
  <w:style w:type="paragraph" w:styleId="Index4">
    <w:name w:val="index 4"/>
    <w:basedOn w:val="Normal"/>
    <w:next w:val="Normal"/>
    <w:autoRedefine/>
    <w:uiPriority w:val="99"/>
    <w:semiHidden/>
    <w:unhideWhenUsed/>
    <w:rsid w:val="006F22DF"/>
    <w:pPr>
      <w:ind w:left="720" w:hanging="180"/>
    </w:pPr>
  </w:style>
  <w:style w:type="paragraph" w:styleId="Index5">
    <w:name w:val="index 5"/>
    <w:basedOn w:val="Normal"/>
    <w:next w:val="Normal"/>
    <w:autoRedefine/>
    <w:uiPriority w:val="99"/>
    <w:semiHidden/>
    <w:unhideWhenUsed/>
    <w:rsid w:val="006F22DF"/>
    <w:pPr>
      <w:ind w:left="900" w:hanging="180"/>
    </w:pPr>
  </w:style>
  <w:style w:type="paragraph" w:styleId="Index6">
    <w:name w:val="index 6"/>
    <w:basedOn w:val="Normal"/>
    <w:next w:val="Normal"/>
    <w:autoRedefine/>
    <w:uiPriority w:val="99"/>
    <w:semiHidden/>
    <w:unhideWhenUsed/>
    <w:rsid w:val="006F22DF"/>
    <w:pPr>
      <w:ind w:left="1080" w:hanging="180"/>
    </w:pPr>
  </w:style>
  <w:style w:type="paragraph" w:styleId="Index7">
    <w:name w:val="index 7"/>
    <w:basedOn w:val="Normal"/>
    <w:next w:val="Normal"/>
    <w:autoRedefine/>
    <w:uiPriority w:val="99"/>
    <w:semiHidden/>
    <w:unhideWhenUsed/>
    <w:rsid w:val="006F22DF"/>
    <w:pPr>
      <w:ind w:left="1260" w:hanging="180"/>
    </w:pPr>
  </w:style>
  <w:style w:type="paragraph" w:styleId="Index8">
    <w:name w:val="index 8"/>
    <w:basedOn w:val="Normal"/>
    <w:next w:val="Normal"/>
    <w:autoRedefine/>
    <w:uiPriority w:val="99"/>
    <w:semiHidden/>
    <w:unhideWhenUsed/>
    <w:rsid w:val="006F22DF"/>
    <w:pPr>
      <w:ind w:left="1440" w:hanging="180"/>
    </w:pPr>
  </w:style>
  <w:style w:type="paragraph" w:styleId="Index9">
    <w:name w:val="index 9"/>
    <w:basedOn w:val="Normal"/>
    <w:next w:val="Normal"/>
    <w:autoRedefine/>
    <w:uiPriority w:val="99"/>
    <w:semiHidden/>
    <w:unhideWhenUsed/>
    <w:rsid w:val="006F22DF"/>
    <w:pPr>
      <w:ind w:left="1620" w:hanging="180"/>
    </w:pPr>
  </w:style>
  <w:style w:type="character" w:styleId="IntenseEmphasis">
    <w:name w:val="Intense Emphasis"/>
    <w:uiPriority w:val="99"/>
    <w:qFormat/>
    <w:rsid w:val="006F22DF"/>
    <w:rPr>
      <w:b/>
      <w:bCs/>
      <w:i/>
      <w:iCs/>
      <w:color w:val="4F81BD"/>
    </w:rPr>
  </w:style>
  <w:style w:type="paragraph" w:styleId="IntenseQuote">
    <w:name w:val="Intense Quote"/>
    <w:basedOn w:val="Normal"/>
    <w:next w:val="Normal"/>
    <w:link w:val="IntenseQuoteChar"/>
    <w:uiPriority w:val="59"/>
    <w:qFormat/>
    <w:rsid w:val="006F22D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rsid w:val="006F22DF"/>
    <w:rPr>
      <w:rFonts w:ascii="Verdana" w:eastAsia="Calibri" w:hAnsi="Verdana" w:cs="Times New Roman"/>
      <w:b/>
      <w:bCs/>
      <w:i/>
      <w:iCs/>
      <w:color w:val="4F81BD"/>
      <w:sz w:val="18"/>
      <w:szCs w:val="22"/>
      <w:lang w:val="en-GB"/>
    </w:rPr>
  </w:style>
  <w:style w:type="character" w:styleId="IntenseReference">
    <w:name w:val="Intense Reference"/>
    <w:uiPriority w:val="99"/>
    <w:qFormat/>
    <w:rsid w:val="006F22DF"/>
    <w:rPr>
      <w:b/>
      <w:bCs/>
      <w:smallCaps/>
      <w:color w:val="C0504D"/>
      <w:spacing w:val="5"/>
      <w:u w:val="single"/>
    </w:rPr>
  </w:style>
  <w:style w:type="paragraph" w:styleId="ListContinue">
    <w:name w:val="List Continue"/>
    <w:basedOn w:val="Normal"/>
    <w:uiPriority w:val="99"/>
    <w:semiHidden/>
    <w:unhideWhenUsed/>
    <w:rsid w:val="006F22DF"/>
    <w:pPr>
      <w:spacing w:after="120"/>
      <w:ind w:left="283"/>
      <w:contextualSpacing/>
    </w:pPr>
  </w:style>
  <w:style w:type="paragraph" w:styleId="ListContinue2">
    <w:name w:val="List Continue 2"/>
    <w:basedOn w:val="Normal"/>
    <w:uiPriority w:val="99"/>
    <w:semiHidden/>
    <w:unhideWhenUsed/>
    <w:rsid w:val="006F22DF"/>
    <w:pPr>
      <w:spacing w:after="120"/>
      <w:ind w:left="566"/>
      <w:contextualSpacing/>
    </w:pPr>
  </w:style>
  <w:style w:type="paragraph" w:styleId="ListContinue3">
    <w:name w:val="List Continue 3"/>
    <w:basedOn w:val="Normal"/>
    <w:uiPriority w:val="99"/>
    <w:semiHidden/>
    <w:unhideWhenUsed/>
    <w:rsid w:val="006F22DF"/>
    <w:pPr>
      <w:spacing w:after="120"/>
      <w:ind w:left="849"/>
      <w:contextualSpacing/>
    </w:pPr>
  </w:style>
  <w:style w:type="paragraph" w:styleId="ListContinue4">
    <w:name w:val="List Continue 4"/>
    <w:basedOn w:val="Normal"/>
    <w:uiPriority w:val="99"/>
    <w:semiHidden/>
    <w:unhideWhenUsed/>
    <w:rsid w:val="006F22DF"/>
    <w:pPr>
      <w:spacing w:after="120"/>
      <w:ind w:left="1132"/>
      <w:contextualSpacing/>
    </w:pPr>
  </w:style>
  <w:style w:type="paragraph" w:styleId="ListContinue5">
    <w:name w:val="List Continue 5"/>
    <w:basedOn w:val="Normal"/>
    <w:uiPriority w:val="99"/>
    <w:semiHidden/>
    <w:unhideWhenUsed/>
    <w:rsid w:val="006F22DF"/>
    <w:pPr>
      <w:spacing w:after="120"/>
      <w:ind w:left="1415"/>
      <w:contextualSpacing/>
    </w:pPr>
  </w:style>
  <w:style w:type="paragraph" w:styleId="MessageHeader">
    <w:name w:val="Message Header"/>
    <w:basedOn w:val="Normal"/>
    <w:link w:val="MessageHeaderChar"/>
    <w:uiPriority w:val="99"/>
    <w:semiHidden/>
    <w:unhideWhenUsed/>
    <w:rsid w:val="006F22D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F22DF"/>
    <w:rPr>
      <w:rFonts w:ascii="Cambria" w:eastAsia="Times New Roman" w:hAnsi="Cambria"/>
      <w:sz w:val="24"/>
      <w:szCs w:val="24"/>
      <w:shd w:val="pct20" w:color="auto" w:fill="auto"/>
      <w:lang w:val="en-GB"/>
    </w:rPr>
  </w:style>
  <w:style w:type="paragraph" w:styleId="NoSpacing">
    <w:name w:val="No Spacing"/>
    <w:uiPriority w:val="1"/>
    <w:qFormat/>
    <w:rsid w:val="006F22DF"/>
    <w:pPr>
      <w:jc w:val="both"/>
    </w:pPr>
    <w:rPr>
      <w:rFonts w:ascii="Verdana" w:hAnsi="Verdana"/>
      <w:sz w:val="18"/>
      <w:szCs w:val="22"/>
      <w:lang w:val="en-GB"/>
    </w:rPr>
  </w:style>
  <w:style w:type="paragraph" w:styleId="NormalWeb">
    <w:name w:val="Normal (Web)"/>
    <w:basedOn w:val="Normal"/>
    <w:uiPriority w:val="99"/>
    <w:unhideWhenUsed/>
    <w:rsid w:val="006F22DF"/>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6F22DF"/>
  </w:style>
  <w:style w:type="character" w:customStyle="1" w:styleId="NoteHeadingChar">
    <w:name w:val="Note Heading Char"/>
    <w:link w:val="NoteHeading"/>
    <w:uiPriority w:val="99"/>
    <w:semiHidden/>
    <w:rsid w:val="006F22DF"/>
    <w:rPr>
      <w:rFonts w:ascii="Verdana" w:eastAsia="Calibri" w:hAnsi="Verdana" w:cs="Times New Roman"/>
      <w:sz w:val="18"/>
      <w:szCs w:val="22"/>
      <w:lang w:val="en-GB"/>
    </w:rPr>
  </w:style>
  <w:style w:type="character" w:styleId="PlaceholderText">
    <w:name w:val="Placeholder Text"/>
    <w:uiPriority w:val="99"/>
    <w:semiHidden/>
    <w:rsid w:val="006F22DF"/>
    <w:rPr>
      <w:color w:val="808080"/>
    </w:rPr>
  </w:style>
  <w:style w:type="paragraph" w:styleId="PlainText">
    <w:name w:val="Plain Text"/>
    <w:basedOn w:val="Normal"/>
    <w:link w:val="PlainTextChar"/>
    <w:uiPriority w:val="99"/>
    <w:unhideWhenUsed/>
    <w:rsid w:val="006F22DF"/>
    <w:rPr>
      <w:rFonts w:ascii="Consolas" w:hAnsi="Consolas" w:cs="Consolas"/>
      <w:sz w:val="21"/>
      <w:szCs w:val="21"/>
    </w:rPr>
  </w:style>
  <w:style w:type="character" w:customStyle="1" w:styleId="PlainTextChar">
    <w:name w:val="Plain Text Char"/>
    <w:link w:val="PlainText"/>
    <w:uiPriority w:val="99"/>
    <w:rsid w:val="006F22DF"/>
    <w:rPr>
      <w:rFonts w:ascii="Consolas" w:eastAsia="Calibri" w:hAnsi="Consolas" w:cs="Consolas"/>
      <w:sz w:val="21"/>
      <w:szCs w:val="21"/>
      <w:lang w:val="en-GB"/>
    </w:rPr>
  </w:style>
  <w:style w:type="paragraph" w:styleId="Quote">
    <w:name w:val="Quote"/>
    <w:basedOn w:val="Normal"/>
    <w:next w:val="Normal"/>
    <w:link w:val="QuoteChar"/>
    <w:uiPriority w:val="59"/>
    <w:qFormat/>
    <w:rsid w:val="006F22DF"/>
    <w:rPr>
      <w:i/>
      <w:iCs/>
      <w:color w:val="000000"/>
    </w:rPr>
  </w:style>
  <w:style w:type="character" w:customStyle="1" w:styleId="QuoteChar">
    <w:name w:val="Quote Char"/>
    <w:link w:val="Quote"/>
    <w:uiPriority w:val="59"/>
    <w:rsid w:val="006F22DF"/>
    <w:rPr>
      <w:rFonts w:ascii="Verdana" w:eastAsia="Calibri" w:hAnsi="Verdana" w:cs="Times New Roman"/>
      <w:i/>
      <w:iCs/>
      <w:color w:val="000000"/>
      <w:sz w:val="18"/>
      <w:szCs w:val="22"/>
      <w:lang w:val="en-GB"/>
    </w:rPr>
  </w:style>
  <w:style w:type="paragraph" w:styleId="Salutation">
    <w:name w:val="Salutation"/>
    <w:basedOn w:val="Normal"/>
    <w:next w:val="Normal"/>
    <w:link w:val="SalutationChar"/>
    <w:uiPriority w:val="99"/>
    <w:semiHidden/>
    <w:unhideWhenUsed/>
    <w:rsid w:val="006F22DF"/>
  </w:style>
  <w:style w:type="character" w:customStyle="1" w:styleId="SalutationChar">
    <w:name w:val="Salutation Char"/>
    <w:link w:val="Salutation"/>
    <w:uiPriority w:val="99"/>
    <w:semiHidden/>
    <w:rsid w:val="006F22DF"/>
    <w:rPr>
      <w:rFonts w:ascii="Verdana" w:eastAsia="Calibri" w:hAnsi="Verdana" w:cs="Times New Roman"/>
      <w:sz w:val="18"/>
      <w:szCs w:val="22"/>
      <w:lang w:val="en-GB"/>
    </w:rPr>
  </w:style>
  <w:style w:type="character" w:styleId="Strong">
    <w:name w:val="Strong"/>
    <w:uiPriority w:val="99"/>
    <w:qFormat/>
    <w:rsid w:val="006F22DF"/>
    <w:rPr>
      <w:b/>
      <w:bCs/>
    </w:rPr>
  </w:style>
  <w:style w:type="paragraph" w:styleId="Subtitle">
    <w:name w:val="Subtitle"/>
    <w:basedOn w:val="Normal"/>
    <w:next w:val="Normal"/>
    <w:link w:val="SubtitleChar"/>
    <w:uiPriority w:val="6"/>
    <w:qFormat/>
    <w:rsid w:val="006F22DF"/>
    <w:pPr>
      <w:numPr>
        <w:ilvl w:val="1"/>
      </w:numPr>
    </w:pPr>
    <w:rPr>
      <w:rFonts w:eastAsia="Times New Roman"/>
      <w:b/>
      <w:iCs/>
      <w:szCs w:val="24"/>
    </w:rPr>
  </w:style>
  <w:style w:type="character" w:customStyle="1" w:styleId="SubtitleChar">
    <w:name w:val="Subtitle Char"/>
    <w:link w:val="Subtitle"/>
    <w:uiPriority w:val="6"/>
    <w:rsid w:val="006F22DF"/>
    <w:rPr>
      <w:rFonts w:ascii="Verdana" w:eastAsia="Times New Roman" w:hAnsi="Verdana"/>
      <w:b/>
      <w:iCs/>
      <w:sz w:val="18"/>
      <w:szCs w:val="24"/>
      <w:lang w:val="en-GB"/>
    </w:rPr>
  </w:style>
  <w:style w:type="character" w:styleId="SubtleEmphasis">
    <w:name w:val="Subtle Emphasis"/>
    <w:uiPriority w:val="99"/>
    <w:qFormat/>
    <w:rsid w:val="006F22DF"/>
    <w:rPr>
      <w:i/>
      <w:iCs/>
      <w:color w:val="808080"/>
    </w:rPr>
  </w:style>
  <w:style w:type="character" w:styleId="SubtleReference">
    <w:name w:val="Subtle Reference"/>
    <w:uiPriority w:val="99"/>
    <w:qFormat/>
    <w:rsid w:val="006F22DF"/>
    <w:rPr>
      <w:smallCaps/>
      <w:color w:val="C0504D"/>
      <w:u w:val="single"/>
    </w:rPr>
  </w:style>
  <w:style w:type="paragraph" w:styleId="TableofAuthorities">
    <w:name w:val="table of authorities"/>
    <w:basedOn w:val="Normal"/>
    <w:next w:val="Normal"/>
    <w:uiPriority w:val="39"/>
    <w:rsid w:val="006F22DF"/>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6F22DF"/>
    <w:pPr>
      <w:tabs>
        <w:tab w:val="left" w:pos="567"/>
        <w:tab w:val="right" w:leader="dot" w:pos="9027"/>
      </w:tabs>
      <w:spacing w:after="120"/>
      <w:ind w:right="720"/>
    </w:pPr>
    <w:rPr>
      <w:rFonts w:eastAsia="Times New Roman"/>
      <w:szCs w:val="20"/>
      <w:lang w:eastAsia="en-GB"/>
    </w:rPr>
  </w:style>
  <w:style w:type="paragraph" w:styleId="Title">
    <w:name w:val="Title"/>
    <w:basedOn w:val="Normal"/>
    <w:next w:val="Normal"/>
    <w:link w:val="TitleChar"/>
    <w:uiPriority w:val="10"/>
    <w:qFormat/>
    <w:rsid w:val="006F22D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10"/>
    <w:rsid w:val="006F22DF"/>
    <w:rPr>
      <w:rFonts w:ascii="Verdana" w:eastAsia="Times New Roman" w:hAnsi="Verdana"/>
      <w:b/>
      <w:caps/>
      <w:color w:val="006283"/>
      <w:kern w:val="28"/>
      <w:sz w:val="18"/>
      <w:szCs w:val="52"/>
      <w:lang w:val="en-GB"/>
    </w:rPr>
  </w:style>
  <w:style w:type="paragraph" w:styleId="TOAHeading">
    <w:name w:val="toa heading"/>
    <w:basedOn w:val="Normal"/>
    <w:next w:val="Normal"/>
    <w:uiPriority w:val="39"/>
    <w:unhideWhenUsed/>
    <w:rsid w:val="006F22DF"/>
    <w:pPr>
      <w:spacing w:before="120"/>
    </w:pPr>
    <w:rPr>
      <w:rFonts w:ascii="Cambria" w:eastAsia="Times New Roman" w:hAnsi="Cambria"/>
      <w:b/>
      <w:bCs/>
      <w:sz w:val="24"/>
      <w:szCs w:val="24"/>
    </w:rPr>
  </w:style>
  <w:style w:type="paragraph" w:styleId="TOC1">
    <w:name w:val="toc 1"/>
    <w:basedOn w:val="Normal"/>
    <w:next w:val="Normal"/>
    <w:autoRedefine/>
    <w:uiPriority w:val="39"/>
    <w:rsid w:val="006F22DF"/>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6F22DF"/>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6F22DF"/>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6F22DF"/>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6F22DF"/>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6F22DF"/>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6F22DF"/>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6F22DF"/>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6F22DF"/>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6F22DF"/>
    <w:pPr>
      <w:spacing w:before="240"/>
      <w:jc w:val="center"/>
    </w:pPr>
    <w:rPr>
      <w:rFonts w:eastAsia="Times New Roman"/>
      <w:b/>
      <w:bCs/>
      <w:szCs w:val="28"/>
      <w:lang w:eastAsia="en-GB"/>
    </w:rPr>
  </w:style>
  <w:style w:type="character" w:customStyle="1" w:styleId="Heading2Char">
    <w:name w:val="Heading 2 Char"/>
    <w:link w:val="Heading2"/>
    <w:uiPriority w:val="2"/>
    <w:rsid w:val="006F22DF"/>
    <w:rPr>
      <w:rFonts w:ascii="Verdana" w:eastAsia="Times New Roman" w:hAnsi="Verdana"/>
      <w:b/>
      <w:bCs/>
      <w:color w:val="006283"/>
      <w:sz w:val="18"/>
      <w:szCs w:val="26"/>
      <w:lang w:val="en-GB"/>
    </w:rPr>
  </w:style>
  <w:style w:type="character" w:customStyle="1" w:styleId="MacroTextChar">
    <w:name w:val="Macro Text Char"/>
    <w:link w:val="MacroText"/>
    <w:uiPriority w:val="99"/>
    <w:semiHidden/>
    <w:rsid w:val="006F22DF"/>
    <w:rPr>
      <w:rFonts w:ascii="Consolas" w:hAnsi="Consolas" w:cs="Consolas"/>
      <w:lang w:val="en-GB"/>
    </w:rPr>
  </w:style>
  <w:style w:type="paragraph" w:customStyle="1" w:styleId="NoteText">
    <w:name w:val="Note Text"/>
    <w:basedOn w:val="Normal"/>
    <w:uiPriority w:val="4"/>
    <w:qFormat/>
    <w:rsid w:val="006F22DF"/>
    <w:pPr>
      <w:tabs>
        <w:tab w:val="left" w:pos="851"/>
      </w:tabs>
      <w:ind w:left="851" w:hanging="851"/>
      <w:jc w:val="left"/>
    </w:pPr>
    <w:rPr>
      <w:sz w:val="16"/>
    </w:rPr>
  </w:style>
  <w:style w:type="paragraph" w:customStyle="1" w:styleId="Quotation">
    <w:name w:val="Quotation"/>
    <w:basedOn w:val="Normal"/>
    <w:uiPriority w:val="5"/>
    <w:qFormat/>
    <w:rsid w:val="006F22DF"/>
    <w:pPr>
      <w:spacing w:after="240"/>
      <w:ind w:left="567" w:right="567"/>
    </w:pPr>
    <w:rPr>
      <w:szCs w:val="18"/>
      <w:lang w:eastAsia="en-GB"/>
    </w:rPr>
  </w:style>
  <w:style w:type="paragraph" w:customStyle="1" w:styleId="QuotationDouble">
    <w:name w:val="Quotation Double"/>
    <w:basedOn w:val="Normal"/>
    <w:uiPriority w:val="5"/>
    <w:qFormat/>
    <w:rsid w:val="006F22DF"/>
    <w:pPr>
      <w:spacing w:after="240"/>
      <w:ind w:left="1134" w:right="1134"/>
    </w:pPr>
    <w:rPr>
      <w:szCs w:val="18"/>
      <w:lang w:eastAsia="en-GB"/>
    </w:rPr>
  </w:style>
  <w:style w:type="character" w:customStyle="1" w:styleId="SignatureChar">
    <w:name w:val="Signature Char"/>
    <w:link w:val="Signature"/>
    <w:uiPriority w:val="99"/>
    <w:semiHidden/>
    <w:rsid w:val="006F22DF"/>
    <w:rPr>
      <w:rFonts w:ascii="Verdana" w:eastAsia="Calibri" w:hAnsi="Verdana" w:cs="Times New Roman"/>
      <w:sz w:val="18"/>
      <w:szCs w:val="22"/>
      <w:lang w:val="en-GB"/>
    </w:rPr>
  </w:style>
  <w:style w:type="paragraph" w:customStyle="1" w:styleId="SummaryHeader">
    <w:name w:val="SummaryHeader"/>
    <w:basedOn w:val="Normal"/>
    <w:uiPriority w:val="4"/>
    <w:qFormat/>
    <w:rsid w:val="006F22DF"/>
    <w:pPr>
      <w:spacing w:after="240"/>
      <w:outlineLvl w:val="0"/>
    </w:pPr>
    <w:rPr>
      <w:b/>
      <w:caps/>
      <w:color w:val="006283"/>
    </w:rPr>
  </w:style>
  <w:style w:type="paragraph" w:customStyle="1" w:styleId="SummarySubheader">
    <w:name w:val="SummarySubheader"/>
    <w:basedOn w:val="Normal"/>
    <w:uiPriority w:val="4"/>
    <w:qFormat/>
    <w:rsid w:val="006F22DF"/>
    <w:pPr>
      <w:spacing w:after="240"/>
      <w:outlineLvl w:val="1"/>
    </w:pPr>
    <w:rPr>
      <w:b/>
      <w:color w:val="006283"/>
    </w:rPr>
  </w:style>
  <w:style w:type="paragraph" w:customStyle="1" w:styleId="SummaryText">
    <w:name w:val="SummaryText"/>
    <w:basedOn w:val="Normal"/>
    <w:uiPriority w:val="4"/>
    <w:qFormat/>
    <w:rsid w:val="006F22DF"/>
    <w:pPr>
      <w:numPr>
        <w:numId w:val="9"/>
      </w:numPr>
      <w:spacing w:after="240"/>
    </w:pPr>
  </w:style>
  <w:style w:type="paragraph" w:customStyle="1" w:styleId="Title2">
    <w:name w:val="Title 2"/>
    <w:basedOn w:val="Normal"/>
    <w:next w:val="Normal"/>
    <w:uiPriority w:val="5"/>
    <w:qFormat/>
    <w:rsid w:val="006F22DF"/>
    <w:pPr>
      <w:spacing w:after="360"/>
      <w:jc w:val="center"/>
    </w:pPr>
    <w:rPr>
      <w:caps/>
      <w:color w:val="006283"/>
      <w:szCs w:val="18"/>
      <w:lang w:eastAsia="en-GB"/>
    </w:rPr>
  </w:style>
  <w:style w:type="paragraph" w:customStyle="1" w:styleId="Title3">
    <w:name w:val="Title 3"/>
    <w:basedOn w:val="Normal"/>
    <w:next w:val="Normal"/>
    <w:uiPriority w:val="5"/>
    <w:qFormat/>
    <w:rsid w:val="006F22DF"/>
    <w:pPr>
      <w:spacing w:after="360"/>
      <w:jc w:val="center"/>
    </w:pPr>
    <w:rPr>
      <w:i/>
      <w:color w:val="006283"/>
      <w:szCs w:val="18"/>
      <w:lang w:eastAsia="en-GB"/>
    </w:rPr>
  </w:style>
  <w:style w:type="paragraph" w:customStyle="1" w:styleId="TitleCountry">
    <w:name w:val="Title Country"/>
    <w:basedOn w:val="Normal"/>
    <w:next w:val="Normal"/>
    <w:uiPriority w:val="5"/>
    <w:qFormat/>
    <w:rsid w:val="006F22DF"/>
    <w:pPr>
      <w:spacing w:after="360"/>
      <w:jc w:val="center"/>
    </w:pPr>
    <w:rPr>
      <w:smallCaps/>
      <w:color w:val="006283"/>
      <w:szCs w:val="18"/>
      <w:lang w:eastAsia="en-GB"/>
    </w:rPr>
  </w:style>
  <w:style w:type="paragraph" w:customStyle="1" w:styleId="TitlePublication">
    <w:name w:val="Title Publication"/>
    <w:basedOn w:val="Normal"/>
    <w:uiPriority w:val="49"/>
    <w:qFormat/>
    <w:rsid w:val="006F22DF"/>
    <w:pPr>
      <w:keepNext/>
      <w:keepLines/>
      <w:spacing w:after="240"/>
      <w:jc w:val="left"/>
    </w:pPr>
    <w:rPr>
      <w:rFonts w:eastAsia="Times New Roman"/>
      <w:b/>
      <w:caps/>
      <w:color w:val="006283"/>
      <w:sz w:val="28"/>
      <w:lang w:val="x-none"/>
    </w:rPr>
  </w:style>
  <w:style w:type="character" w:customStyle="1" w:styleId="a">
    <w:name w:val="_"/>
    <w:rsid w:val="00600AE1"/>
  </w:style>
  <w:style w:type="character" w:customStyle="1" w:styleId="addmd1">
    <w:name w:val="addmd1"/>
    <w:basedOn w:val="DefaultParagraphFont"/>
    <w:uiPriority w:val="99"/>
    <w:rsid w:val="00ED3EBD"/>
    <w:rPr>
      <w:rFonts w:cs="Times New Roman"/>
      <w:sz w:val="20"/>
      <w:szCs w:val="20"/>
    </w:rPr>
  </w:style>
  <w:style w:type="paragraph" w:customStyle="1" w:styleId="figuretitle">
    <w:name w:val="figure title"/>
    <w:basedOn w:val="Normal"/>
    <w:link w:val="figuretitleChar"/>
    <w:qFormat/>
    <w:rsid w:val="00364AD9"/>
    <w:pPr>
      <w:spacing w:line="264" w:lineRule="auto"/>
      <w:jc w:val="center"/>
    </w:pPr>
    <w:rPr>
      <w:rFonts w:ascii="Calibri" w:eastAsia="Times New Roman" w:hAnsi="Calibri"/>
      <w:b/>
      <w:bCs/>
      <w:sz w:val="20"/>
      <w:szCs w:val="20"/>
      <w:lang w:val="en-US"/>
    </w:rPr>
  </w:style>
  <w:style w:type="character" w:customStyle="1" w:styleId="figuretitleChar">
    <w:name w:val="figure title Char"/>
    <w:link w:val="figuretitle"/>
    <w:rsid w:val="00364AD9"/>
    <w:rPr>
      <w:rFonts w:eastAsia="Times New Roman"/>
      <w:b/>
      <w:bCs/>
    </w:rPr>
  </w:style>
  <w:style w:type="paragraph" w:customStyle="1" w:styleId="Default">
    <w:name w:val="Default"/>
    <w:rsid w:val="004645B5"/>
    <w:pPr>
      <w:autoSpaceDE w:val="0"/>
      <w:autoSpaceDN w:val="0"/>
      <w:adjustRightInd w:val="0"/>
    </w:pPr>
    <w:rPr>
      <w:rFonts w:ascii="Times New Roman" w:eastAsiaTheme="minorHAnsi" w:hAnsi="Times New Roman"/>
      <w:color w:val="000000"/>
      <w:sz w:val="24"/>
      <w:szCs w:val="24"/>
    </w:rPr>
  </w:style>
  <w:style w:type="character" w:customStyle="1" w:styleId="A0">
    <w:name w:val="A0"/>
    <w:uiPriority w:val="99"/>
    <w:rsid w:val="007B07B8"/>
    <w:rPr>
      <w:rFonts w:cs="ITC Avant Garde Gothic Demi"/>
      <w:b/>
      <w:bCs/>
      <w:color w:val="000000"/>
      <w:sz w:val="28"/>
      <w:szCs w:val="28"/>
    </w:rPr>
  </w:style>
  <w:style w:type="paragraph" w:styleId="Revision">
    <w:name w:val="Revision"/>
    <w:hidden/>
    <w:uiPriority w:val="99"/>
    <w:semiHidden/>
    <w:rsid w:val="00245D83"/>
    <w:rPr>
      <w:rFonts w:ascii="Verdana" w:hAnsi="Verdana"/>
      <w:sz w:val="18"/>
      <w:szCs w:val="22"/>
      <w:lang w:val="en-GB"/>
    </w:rPr>
  </w:style>
  <w:style w:type="paragraph" w:customStyle="1" w:styleId="Normal1">
    <w:name w:val="Normal1"/>
    <w:rsid w:val="0048765A"/>
    <w:pPr>
      <w:spacing w:after="160" w:line="259" w:lineRule="auto"/>
    </w:pPr>
    <w:rPr>
      <w:rFonts w:cs="Calibri"/>
      <w:color w:val="000000"/>
      <w:sz w:val="22"/>
      <w:szCs w:val="22"/>
      <w:lang w:val="en-CA" w:eastAsia="en-CA"/>
    </w:rPr>
  </w:style>
  <w:style w:type="character" w:customStyle="1" w:styleId="ListParagraphChar">
    <w:name w:val="List Paragraph Char"/>
    <w:aliases w:val="List Paragraph (numbered (a)) Char"/>
    <w:link w:val="ListParagraph"/>
    <w:uiPriority w:val="34"/>
    <w:locked/>
    <w:rsid w:val="000B30F4"/>
    <w:rPr>
      <w:rFonts w:ascii="Verdana" w:hAnsi="Verdana"/>
      <w:sz w:val="18"/>
      <w:szCs w:val="22"/>
      <w:lang w:val="en-GB"/>
    </w:rPr>
  </w:style>
  <w:style w:type="character" w:customStyle="1" w:styleId="A8">
    <w:name w:val="A8"/>
    <w:uiPriority w:val="99"/>
    <w:rsid w:val="001D5C40"/>
    <w:rPr>
      <w:rFonts w:ascii="NordlingBQ" w:hAnsi="NordlingBQ" w:cs="NordlingBQ"/>
      <w:color w:val="211D1E"/>
      <w:sz w:val="11"/>
      <w:szCs w:val="11"/>
    </w:rPr>
  </w:style>
  <w:style w:type="paragraph" w:customStyle="1" w:styleId="Pa11">
    <w:name w:val="Pa11"/>
    <w:basedOn w:val="Default"/>
    <w:next w:val="Default"/>
    <w:uiPriority w:val="99"/>
    <w:rsid w:val="001D5C40"/>
    <w:pPr>
      <w:spacing w:line="301" w:lineRule="atLeast"/>
    </w:pPr>
    <w:rPr>
      <w:rFonts w:ascii="Akzidenz-Grotesk BQ" w:hAnsi="Akzidenz-Grotesk BQ" w:cstheme="minorBidi"/>
      <w:color w:val="auto"/>
    </w:rPr>
  </w:style>
  <w:style w:type="character" w:customStyle="1" w:styleId="A1">
    <w:name w:val="A1"/>
    <w:uiPriority w:val="99"/>
    <w:rsid w:val="008C236D"/>
    <w:rPr>
      <w:rFonts w:cs="Akzidenz-Grotesk BQ"/>
      <w:color w:val="00519C"/>
      <w:sz w:val="38"/>
      <w:szCs w:val="38"/>
    </w:rPr>
  </w:style>
  <w:style w:type="character" w:customStyle="1" w:styleId="A4">
    <w:name w:val="A4"/>
    <w:uiPriority w:val="99"/>
    <w:rsid w:val="008C236D"/>
    <w:rPr>
      <w:rFonts w:cs="Akzidenz-Grotesk BQ"/>
      <w:color w:val="211D1E"/>
      <w:sz w:val="16"/>
      <w:szCs w:val="16"/>
    </w:rPr>
  </w:style>
  <w:style w:type="paragraph" w:customStyle="1" w:styleId="Biblio">
    <w:name w:val="Biblio"/>
    <w:qFormat/>
    <w:rsid w:val="00325072"/>
    <w:pPr>
      <w:suppressAutoHyphens/>
      <w:spacing w:after="120"/>
      <w:ind w:left="454" w:hanging="454"/>
      <w:jc w:val="both"/>
    </w:pPr>
    <w:rPr>
      <w:rFonts w:ascii="Garamond" w:eastAsiaTheme="minorHAnsi" w:hAnsi="Garamond" w:cstheme="minorBidi"/>
      <w:sz w:val="24"/>
      <w:szCs w:val="22"/>
      <w:lang w:val="fi-FI"/>
    </w:rPr>
  </w:style>
  <w:style w:type="paragraph" w:customStyle="1" w:styleId="References">
    <w:name w:val="References"/>
    <w:link w:val="ReferencesChar"/>
    <w:rsid w:val="00716898"/>
    <w:pPr>
      <w:spacing w:after="120" w:line="250" w:lineRule="exact"/>
      <w:ind w:left="360" w:hanging="360"/>
    </w:pPr>
    <w:rPr>
      <w:rFonts w:ascii="Times New Roman" w:eastAsia="Times New Roman" w:hAnsi="Times New Roman"/>
      <w:sz w:val="23"/>
      <w:szCs w:val="24"/>
    </w:rPr>
  </w:style>
  <w:style w:type="character" w:customStyle="1" w:styleId="ReferencesChar">
    <w:name w:val="References Char"/>
    <w:link w:val="References"/>
    <w:rsid w:val="00716898"/>
    <w:rPr>
      <w:rFonts w:ascii="Times New Roman" w:eastAsia="Times New Roman" w:hAnsi="Times New Roman"/>
      <w:sz w:val="23"/>
      <w:szCs w:val="24"/>
    </w:rPr>
  </w:style>
  <w:style w:type="paragraph" w:customStyle="1" w:styleId="Table-title">
    <w:name w:val="Table-title"/>
    <w:link w:val="Table-titleChar"/>
    <w:qFormat/>
    <w:rsid w:val="009A04BE"/>
    <w:pPr>
      <w:spacing w:before="120" w:after="120"/>
    </w:pPr>
    <w:rPr>
      <w:rFonts w:ascii="Arial" w:eastAsiaTheme="minorHAnsi" w:hAnsi="Arial" w:cstheme="minorBidi"/>
      <w:sz w:val="18"/>
      <w:szCs w:val="22"/>
      <w:lang w:val="en-GB"/>
    </w:rPr>
  </w:style>
  <w:style w:type="character" w:customStyle="1" w:styleId="Table-titleChar">
    <w:name w:val="Table-title Char"/>
    <w:basedOn w:val="DefaultParagraphFont"/>
    <w:link w:val="Table-title"/>
    <w:rsid w:val="009A04BE"/>
    <w:rPr>
      <w:rFonts w:ascii="Arial" w:eastAsiaTheme="minorHAnsi" w:hAnsi="Arial" w:cstheme="minorBidi"/>
      <w:sz w:val="18"/>
      <w:szCs w:val="22"/>
      <w:lang w:val="en-GB"/>
    </w:rPr>
  </w:style>
  <w:style w:type="paragraph" w:customStyle="1" w:styleId="Table-source">
    <w:name w:val="Table-source"/>
    <w:next w:val="Normal"/>
    <w:link w:val="Table-sourceChar"/>
    <w:qFormat/>
    <w:rsid w:val="009A04BE"/>
    <w:pPr>
      <w:spacing w:before="120" w:after="240"/>
    </w:pPr>
    <w:rPr>
      <w:rFonts w:ascii="Arial" w:eastAsiaTheme="minorHAnsi" w:hAnsi="Arial" w:cstheme="minorBidi"/>
      <w:sz w:val="18"/>
      <w:szCs w:val="22"/>
      <w:lang w:val="fi-FI"/>
    </w:rPr>
  </w:style>
  <w:style w:type="character" w:customStyle="1" w:styleId="Table-sourceChar">
    <w:name w:val="Table-source Char"/>
    <w:basedOn w:val="DefaultParagraphFont"/>
    <w:link w:val="Table-source"/>
    <w:rsid w:val="009A04BE"/>
    <w:rPr>
      <w:rFonts w:ascii="Arial" w:eastAsiaTheme="minorHAnsi" w:hAnsi="Arial" w:cstheme="minorBidi"/>
      <w:sz w:val="18"/>
      <w:szCs w:val="22"/>
      <w:lang w:val="fi-FI"/>
    </w:rPr>
  </w:style>
  <w:style w:type="character" w:customStyle="1" w:styleId="apple-converted-space">
    <w:name w:val="apple-converted-space"/>
    <w:basedOn w:val="DefaultParagraphFont"/>
    <w:rsid w:val="0081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2965">
      <w:bodyDiv w:val="1"/>
      <w:marLeft w:val="0"/>
      <w:marRight w:val="0"/>
      <w:marTop w:val="0"/>
      <w:marBottom w:val="0"/>
      <w:divBdr>
        <w:top w:val="none" w:sz="0" w:space="0" w:color="auto"/>
        <w:left w:val="none" w:sz="0" w:space="0" w:color="auto"/>
        <w:bottom w:val="none" w:sz="0" w:space="0" w:color="auto"/>
        <w:right w:val="none" w:sz="0" w:space="0" w:color="auto"/>
      </w:divBdr>
    </w:div>
    <w:div w:id="223567798">
      <w:bodyDiv w:val="1"/>
      <w:marLeft w:val="0"/>
      <w:marRight w:val="0"/>
      <w:marTop w:val="0"/>
      <w:marBottom w:val="0"/>
      <w:divBdr>
        <w:top w:val="none" w:sz="0" w:space="0" w:color="auto"/>
        <w:left w:val="none" w:sz="0" w:space="0" w:color="auto"/>
        <w:bottom w:val="none" w:sz="0" w:space="0" w:color="auto"/>
        <w:right w:val="none" w:sz="0" w:space="0" w:color="auto"/>
      </w:divBdr>
      <w:divsChild>
        <w:div w:id="250937810">
          <w:marLeft w:val="720"/>
          <w:marRight w:val="0"/>
          <w:marTop w:val="200"/>
          <w:marBottom w:val="0"/>
          <w:divBdr>
            <w:top w:val="none" w:sz="0" w:space="0" w:color="auto"/>
            <w:left w:val="none" w:sz="0" w:space="0" w:color="auto"/>
            <w:bottom w:val="none" w:sz="0" w:space="0" w:color="auto"/>
            <w:right w:val="none" w:sz="0" w:space="0" w:color="auto"/>
          </w:divBdr>
        </w:div>
        <w:div w:id="1026905067">
          <w:marLeft w:val="720"/>
          <w:marRight w:val="0"/>
          <w:marTop w:val="200"/>
          <w:marBottom w:val="0"/>
          <w:divBdr>
            <w:top w:val="none" w:sz="0" w:space="0" w:color="auto"/>
            <w:left w:val="none" w:sz="0" w:space="0" w:color="auto"/>
            <w:bottom w:val="none" w:sz="0" w:space="0" w:color="auto"/>
            <w:right w:val="none" w:sz="0" w:space="0" w:color="auto"/>
          </w:divBdr>
        </w:div>
      </w:divsChild>
    </w:div>
    <w:div w:id="340354593">
      <w:bodyDiv w:val="1"/>
      <w:marLeft w:val="0"/>
      <w:marRight w:val="0"/>
      <w:marTop w:val="0"/>
      <w:marBottom w:val="0"/>
      <w:divBdr>
        <w:top w:val="none" w:sz="0" w:space="0" w:color="auto"/>
        <w:left w:val="none" w:sz="0" w:space="0" w:color="auto"/>
        <w:bottom w:val="none" w:sz="0" w:space="0" w:color="auto"/>
        <w:right w:val="none" w:sz="0" w:space="0" w:color="auto"/>
      </w:divBdr>
    </w:div>
    <w:div w:id="465121005">
      <w:bodyDiv w:val="1"/>
      <w:marLeft w:val="0"/>
      <w:marRight w:val="0"/>
      <w:marTop w:val="0"/>
      <w:marBottom w:val="0"/>
      <w:divBdr>
        <w:top w:val="none" w:sz="0" w:space="0" w:color="auto"/>
        <w:left w:val="none" w:sz="0" w:space="0" w:color="auto"/>
        <w:bottom w:val="none" w:sz="0" w:space="0" w:color="auto"/>
        <w:right w:val="none" w:sz="0" w:space="0" w:color="auto"/>
      </w:divBdr>
      <w:divsChild>
        <w:div w:id="207690769">
          <w:marLeft w:val="0"/>
          <w:marRight w:val="0"/>
          <w:marTop w:val="0"/>
          <w:marBottom w:val="0"/>
          <w:divBdr>
            <w:top w:val="none" w:sz="0" w:space="0" w:color="auto"/>
            <w:left w:val="none" w:sz="0" w:space="0" w:color="auto"/>
            <w:bottom w:val="none" w:sz="0" w:space="0" w:color="auto"/>
            <w:right w:val="none" w:sz="0" w:space="0" w:color="auto"/>
          </w:divBdr>
        </w:div>
        <w:div w:id="1401251561">
          <w:marLeft w:val="0"/>
          <w:marRight w:val="0"/>
          <w:marTop w:val="0"/>
          <w:marBottom w:val="0"/>
          <w:divBdr>
            <w:top w:val="none" w:sz="0" w:space="0" w:color="auto"/>
            <w:left w:val="none" w:sz="0" w:space="0" w:color="auto"/>
            <w:bottom w:val="none" w:sz="0" w:space="0" w:color="auto"/>
            <w:right w:val="none" w:sz="0" w:space="0" w:color="auto"/>
          </w:divBdr>
        </w:div>
      </w:divsChild>
    </w:div>
    <w:div w:id="953287410">
      <w:bodyDiv w:val="1"/>
      <w:marLeft w:val="0"/>
      <w:marRight w:val="0"/>
      <w:marTop w:val="0"/>
      <w:marBottom w:val="0"/>
      <w:divBdr>
        <w:top w:val="none" w:sz="0" w:space="0" w:color="auto"/>
        <w:left w:val="none" w:sz="0" w:space="0" w:color="auto"/>
        <w:bottom w:val="none" w:sz="0" w:space="0" w:color="auto"/>
        <w:right w:val="none" w:sz="0" w:space="0" w:color="auto"/>
      </w:divBdr>
      <w:divsChild>
        <w:div w:id="360513871">
          <w:marLeft w:val="806"/>
          <w:marRight w:val="0"/>
          <w:marTop w:val="200"/>
          <w:marBottom w:val="0"/>
          <w:divBdr>
            <w:top w:val="none" w:sz="0" w:space="0" w:color="auto"/>
            <w:left w:val="none" w:sz="0" w:space="0" w:color="auto"/>
            <w:bottom w:val="none" w:sz="0" w:space="0" w:color="auto"/>
            <w:right w:val="none" w:sz="0" w:space="0" w:color="auto"/>
          </w:divBdr>
        </w:div>
        <w:div w:id="449402749">
          <w:marLeft w:val="806"/>
          <w:marRight w:val="0"/>
          <w:marTop w:val="200"/>
          <w:marBottom w:val="0"/>
          <w:divBdr>
            <w:top w:val="none" w:sz="0" w:space="0" w:color="auto"/>
            <w:left w:val="none" w:sz="0" w:space="0" w:color="auto"/>
            <w:bottom w:val="none" w:sz="0" w:space="0" w:color="auto"/>
            <w:right w:val="none" w:sz="0" w:space="0" w:color="auto"/>
          </w:divBdr>
        </w:div>
        <w:div w:id="1305575419">
          <w:marLeft w:val="1080"/>
          <w:marRight w:val="0"/>
          <w:marTop w:val="100"/>
          <w:marBottom w:val="0"/>
          <w:divBdr>
            <w:top w:val="none" w:sz="0" w:space="0" w:color="auto"/>
            <w:left w:val="none" w:sz="0" w:space="0" w:color="auto"/>
            <w:bottom w:val="none" w:sz="0" w:space="0" w:color="auto"/>
            <w:right w:val="none" w:sz="0" w:space="0" w:color="auto"/>
          </w:divBdr>
        </w:div>
        <w:div w:id="1676297232">
          <w:marLeft w:val="806"/>
          <w:marRight w:val="0"/>
          <w:marTop w:val="200"/>
          <w:marBottom w:val="0"/>
          <w:divBdr>
            <w:top w:val="none" w:sz="0" w:space="0" w:color="auto"/>
            <w:left w:val="none" w:sz="0" w:space="0" w:color="auto"/>
            <w:bottom w:val="none" w:sz="0" w:space="0" w:color="auto"/>
            <w:right w:val="none" w:sz="0" w:space="0" w:color="auto"/>
          </w:divBdr>
        </w:div>
        <w:div w:id="1685283158">
          <w:marLeft w:val="806"/>
          <w:marRight w:val="0"/>
          <w:marTop w:val="200"/>
          <w:marBottom w:val="0"/>
          <w:divBdr>
            <w:top w:val="none" w:sz="0" w:space="0" w:color="auto"/>
            <w:left w:val="none" w:sz="0" w:space="0" w:color="auto"/>
            <w:bottom w:val="none" w:sz="0" w:space="0" w:color="auto"/>
            <w:right w:val="none" w:sz="0" w:space="0" w:color="auto"/>
          </w:divBdr>
        </w:div>
        <w:div w:id="1770463700">
          <w:marLeft w:val="1080"/>
          <w:marRight w:val="0"/>
          <w:marTop w:val="100"/>
          <w:marBottom w:val="0"/>
          <w:divBdr>
            <w:top w:val="none" w:sz="0" w:space="0" w:color="auto"/>
            <w:left w:val="none" w:sz="0" w:space="0" w:color="auto"/>
            <w:bottom w:val="none" w:sz="0" w:space="0" w:color="auto"/>
            <w:right w:val="none" w:sz="0" w:space="0" w:color="auto"/>
          </w:divBdr>
        </w:div>
        <w:div w:id="2000576969">
          <w:marLeft w:val="806"/>
          <w:marRight w:val="0"/>
          <w:marTop w:val="200"/>
          <w:marBottom w:val="0"/>
          <w:divBdr>
            <w:top w:val="none" w:sz="0" w:space="0" w:color="auto"/>
            <w:left w:val="none" w:sz="0" w:space="0" w:color="auto"/>
            <w:bottom w:val="none" w:sz="0" w:space="0" w:color="auto"/>
            <w:right w:val="none" w:sz="0" w:space="0" w:color="auto"/>
          </w:divBdr>
        </w:div>
      </w:divsChild>
    </w:div>
    <w:div w:id="1451126959">
      <w:bodyDiv w:val="1"/>
      <w:marLeft w:val="0"/>
      <w:marRight w:val="0"/>
      <w:marTop w:val="0"/>
      <w:marBottom w:val="0"/>
      <w:divBdr>
        <w:top w:val="none" w:sz="0" w:space="0" w:color="auto"/>
        <w:left w:val="none" w:sz="0" w:space="0" w:color="auto"/>
        <w:bottom w:val="none" w:sz="0" w:space="0" w:color="auto"/>
        <w:right w:val="none" w:sz="0" w:space="0" w:color="auto"/>
      </w:divBdr>
      <w:divsChild>
        <w:div w:id="11147727">
          <w:marLeft w:val="1080"/>
          <w:marRight w:val="0"/>
          <w:marTop w:val="100"/>
          <w:marBottom w:val="0"/>
          <w:divBdr>
            <w:top w:val="none" w:sz="0" w:space="0" w:color="auto"/>
            <w:left w:val="none" w:sz="0" w:space="0" w:color="auto"/>
            <w:bottom w:val="none" w:sz="0" w:space="0" w:color="auto"/>
            <w:right w:val="none" w:sz="0" w:space="0" w:color="auto"/>
          </w:divBdr>
        </w:div>
        <w:div w:id="81878112">
          <w:marLeft w:val="360"/>
          <w:marRight w:val="0"/>
          <w:marTop w:val="200"/>
          <w:marBottom w:val="0"/>
          <w:divBdr>
            <w:top w:val="none" w:sz="0" w:space="0" w:color="auto"/>
            <w:left w:val="none" w:sz="0" w:space="0" w:color="auto"/>
            <w:bottom w:val="none" w:sz="0" w:space="0" w:color="auto"/>
            <w:right w:val="none" w:sz="0" w:space="0" w:color="auto"/>
          </w:divBdr>
        </w:div>
        <w:div w:id="756051913">
          <w:marLeft w:val="1080"/>
          <w:marRight w:val="0"/>
          <w:marTop w:val="100"/>
          <w:marBottom w:val="0"/>
          <w:divBdr>
            <w:top w:val="none" w:sz="0" w:space="0" w:color="auto"/>
            <w:left w:val="none" w:sz="0" w:space="0" w:color="auto"/>
            <w:bottom w:val="none" w:sz="0" w:space="0" w:color="auto"/>
            <w:right w:val="none" w:sz="0" w:space="0" w:color="auto"/>
          </w:divBdr>
        </w:div>
        <w:div w:id="868025638">
          <w:marLeft w:val="1080"/>
          <w:marRight w:val="0"/>
          <w:marTop w:val="100"/>
          <w:marBottom w:val="0"/>
          <w:divBdr>
            <w:top w:val="none" w:sz="0" w:space="0" w:color="auto"/>
            <w:left w:val="none" w:sz="0" w:space="0" w:color="auto"/>
            <w:bottom w:val="none" w:sz="0" w:space="0" w:color="auto"/>
            <w:right w:val="none" w:sz="0" w:space="0" w:color="auto"/>
          </w:divBdr>
        </w:div>
        <w:div w:id="1321427507">
          <w:marLeft w:val="360"/>
          <w:marRight w:val="0"/>
          <w:marTop w:val="200"/>
          <w:marBottom w:val="0"/>
          <w:divBdr>
            <w:top w:val="none" w:sz="0" w:space="0" w:color="auto"/>
            <w:left w:val="none" w:sz="0" w:space="0" w:color="auto"/>
            <w:bottom w:val="none" w:sz="0" w:space="0" w:color="auto"/>
            <w:right w:val="none" w:sz="0" w:space="0" w:color="auto"/>
          </w:divBdr>
        </w:div>
        <w:div w:id="1383022523">
          <w:marLeft w:val="360"/>
          <w:marRight w:val="0"/>
          <w:marTop w:val="200"/>
          <w:marBottom w:val="0"/>
          <w:divBdr>
            <w:top w:val="none" w:sz="0" w:space="0" w:color="auto"/>
            <w:left w:val="none" w:sz="0" w:space="0" w:color="auto"/>
            <w:bottom w:val="none" w:sz="0" w:space="0" w:color="auto"/>
            <w:right w:val="none" w:sz="0" w:space="0" w:color="auto"/>
          </w:divBdr>
        </w:div>
        <w:div w:id="1858931127">
          <w:marLeft w:val="360"/>
          <w:marRight w:val="0"/>
          <w:marTop w:val="200"/>
          <w:marBottom w:val="0"/>
          <w:divBdr>
            <w:top w:val="none" w:sz="0" w:space="0" w:color="auto"/>
            <w:left w:val="none" w:sz="0" w:space="0" w:color="auto"/>
            <w:bottom w:val="none" w:sz="0" w:space="0" w:color="auto"/>
            <w:right w:val="none" w:sz="0" w:space="0" w:color="auto"/>
          </w:divBdr>
        </w:div>
        <w:div w:id="2007051934">
          <w:marLeft w:val="360"/>
          <w:marRight w:val="0"/>
          <w:marTop w:val="200"/>
          <w:marBottom w:val="0"/>
          <w:divBdr>
            <w:top w:val="none" w:sz="0" w:space="0" w:color="auto"/>
            <w:left w:val="none" w:sz="0" w:space="0" w:color="auto"/>
            <w:bottom w:val="none" w:sz="0" w:space="0" w:color="auto"/>
            <w:right w:val="none" w:sz="0" w:space="0" w:color="auto"/>
          </w:divBdr>
        </w:div>
      </w:divsChild>
    </w:div>
    <w:div w:id="1454329137">
      <w:bodyDiv w:val="1"/>
      <w:marLeft w:val="0"/>
      <w:marRight w:val="0"/>
      <w:marTop w:val="0"/>
      <w:marBottom w:val="0"/>
      <w:divBdr>
        <w:top w:val="none" w:sz="0" w:space="0" w:color="auto"/>
        <w:left w:val="none" w:sz="0" w:space="0" w:color="auto"/>
        <w:bottom w:val="none" w:sz="0" w:space="0" w:color="auto"/>
        <w:right w:val="none" w:sz="0" w:space="0" w:color="auto"/>
      </w:divBdr>
      <w:divsChild>
        <w:div w:id="336616982">
          <w:marLeft w:val="1080"/>
          <w:marRight w:val="0"/>
          <w:marTop w:val="100"/>
          <w:marBottom w:val="0"/>
          <w:divBdr>
            <w:top w:val="none" w:sz="0" w:space="0" w:color="auto"/>
            <w:left w:val="none" w:sz="0" w:space="0" w:color="auto"/>
            <w:bottom w:val="none" w:sz="0" w:space="0" w:color="auto"/>
            <w:right w:val="none" w:sz="0" w:space="0" w:color="auto"/>
          </w:divBdr>
        </w:div>
        <w:div w:id="466164910">
          <w:marLeft w:val="1080"/>
          <w:marRight w:val="0"/>
          <w:marTop w:val="100"/>
          <w:marBottom w:val="0"/>
          <w:divBdr>
            <w:top w:val="none" w:sz="0" w:space="0" w:color="auto"/>
            <w:left w:val="none" w:sz="0" w:space="0" w:color="auto"/>
            <w:bottom w:val="none" w:sz="0" w:space="0" w:color="auto"/>
            <w:right w:val="none" w:sz="0" w:space="0" w:color="auto"/>
          </w:divBdr>
        </w:div>
        <w:div w:id="481654953">
          <w:marLeft w:val="1080"/>
          <w:marRight w:val="0"/>
          <w:marTop w:val="100"/>
          <w:marBottom w:val="0"/>
          <w:divBdr>
            <w:top w:val="none" w:sz="0" w:space="0" w:color="auto"/>
            <w:left w:val="none" w:sz="0" w:space="0" w:color="auto"/>
            <w:bottom w:val="none" w:sz="0" w:space="0" w:color="auto"/>
            <w:right w:val="none" w:sz="0" w:space="0" w:color="auto"/>
          </w:divBdr>
        </w:div>
        <w:div w:id="511456813">
          <w:marLeft w:val="1800"/>
          <w:marRight w:val="0"/>
          <w:marTop w:val="100"/>
          <w:marBottom w:val="0"/>
          <w:divBdr>
            <w:top w:val="none" w:sz="0" w:space="0" w:color="auto"/>
            <w:left w:val="none" w:sz="0" w:space="0" w:color="auto"/>
            <w:bottom w:val="none" w:sz="0" w:space="0" w:color="auto"/>
            <w:right w:val="none" w:sz="0" w:space="0" w:color="auto"/>
          </w:divBdr>
        </w:div>
        <w:div w:id="543561905">
          <w:marLeft w:val="1800"/>
          <w:marRight w:val="0"/>
          <w:marTop w:val="100"/>
          <w:marBottom w:val="0"/>
          <w:divBdr>
            <w:top w:val="none" w:sz="0" w:space="0" w:color="auto"/>
            <w:left w:val="none" w:sz="0" w:space="0" w:color="auto"/>
            <w:bottom w:val="none" w:sz="0" w:space="0" w:color="auto"/>
            <w:right w:val="none" w:sz="0" w:space="0" w:color="auto"/>
          </w:divBdr>
        </w:div>
        <w:div w:id="1321037108">
          <w:marLeft w:val="1800"/>
          <w:marRight w:val="0"/>
          <w:marTop w:val="100"/>
          <w:marBottom w:val="0"/>
          <w:divBdr>
            <w:top w:val="none" w:sz="0" w:space="0" w:color="auto"/>
            <w:left w:val="none" w:sz="0" w:space="0" w:color="auto"/>
            <w:bottom w:val="none" w:sz="0" w:space="0" w:color="auto"/>
            <w:right w:val="none" w:sz="0" w:space="0" w:color="auto"/>
          </w:divBdr>
        </w:div>
        <w:div w:id="1338969935">
          <w:marLeft w:val="1080"/>
          <w:marRight w:val="0"/>
          <w:marTop w:val="100"/>
          <w:marBottom w:val="0"/>
          <w:divBdr>
            <w:top w:val="none" w:sz="0" w:space="0" w:color="auto"/>
            <w:left w:val="none" w:sz="0" w:space="0" w:color="auto"/>
            <w:bottom w:val="none" w:sz="0" w:space="0" w:color="auto"/>
            <w:right w:val="none" w:sz="0" w:space="0" w:color="auto"/>
          </w:divBdr>
        </w:div>
        <w:div w:id="1646616138">
          <w:marLeft w:val="1080"/>
          <w:marRight w:val="0"/>
          <w:marTop w:val="100"/>
          <w:marBottom w:val="0"/>
          <w:divBdr>
            <w:top w:val="none" w:sz="0" w:space="0" w:color="auto"/>
            <w:left w:val="none" w:sz="0" w:space="0" w:color="auto"/>
            <w:bottom w:val="none" w:sz="0" w:space="0" w:color="auto"/>
            <w:right w:val="none" w:sz="0" w:space="0" w:color="auto"/>
          </w:divBdr>
        </w:div>
        <w:div w:id="1681421492">
          <w:marLeft w:val="1080"/>
          <w:marRight w:val="0"/>
          <w:marTop w:val="100"/>
          <w:marBottom w:val="0"/>
          <w:divBdr>
            <w:top w:val="none" w:sz="0" w:space="0" w:color="auto"/>
            <w:left w:val="none" w:sz="0" w:space="0" w:color="auto"/>
            <w:bottom w:val="none" w:sz="0" w:space="0" w:color="auto"/>
            <w:right w:val="none" w:sz="0" w:space="0" w:color="auto"/>
          </w:divBdr>
        </w:div>
      </w:divsChild>
    </w:div>
    <w:div w:id="1465386661">
      <w:bodyDiv w:val="1"/>
      <w:marLeft w:val="0"/>
      <w:marRight w:val="0"/>
      <w:marTop w:val="0"/>
      <w:marBottom w:val="0"/>
      <w:divBdr>
        <w:top w:val="none" w:sz="0" w:space="0" w:color="auto"/>
        <w:left w:val="none" w:sz="0" w:space="0" w:color="auto"/>
        <w:bottom w:val="none" w:sz="0" w:space="0" w:color="auto"/>
        <w:right w:val="none" w:sz="0" w:space="0" w:color="auto"/>
      </w:divBdr>
      <w:divsChild>
        <w:div w:id="881095654">
          <w:marLeft w:val="0"/>
          <w:marRight w:val="0"/>
          <w:marTop w:val="0"/>
          <w:marBottom w:val="0"/>
          <w:divBdr>
            <w:top w:val="none" w:sz="0" w:space="0" w:color="auto"/>
            <w:left w:val="none" w:sz="0" w:space="0" w:color="auto"/>
            <w:bottom w:val="none" w:sz="0" w:space="0" w:color="auto"/>
            <w:right w:val="none" w:sz="0" w:space="0" w:color="auto"/>
          </w:divBdr>
        </w:div>
        <w:div w:id="1270314250">
          <w:marLeft w:val="0"/>
          <w:marRight w:val="0"/>
          <w:marTop w:val="0"/>
          <w:marBottom w:val="0"/>
          <w:divBdr>
            <w:top w:val="none" w:sz="0" w:space="0" w:color="auto"/>
            <w:left w:val="none" w:sz="0" w:space="0" w:color="auto"/>
            <w:bottom w:val="none" w:sz="0" w:space="0" w:color="auto"/>
            <w:right w:val="none" w:sz="0" w:space="0" w:color="auto"/>
          </w:divBdr>
        </w:div>
      </w:divsChild>
    </w:div>
    <w:div w:id="1649626573">
      <w:bodyDiv w:val="1"/>
      <w:marLeft w:val="0"/>
      <w:marRight w:val="0"/>
      <w:marTop w:val="0"/>
      <w:marBottom w:val="0"/>
      <w:divBdr>
        <w:top w:val="none" w:sz="0" w:space="0" w:color="auto"/>
        <w:left w:val="none" w:sz="0" w:space="0" w:color="auto"/>
        <w:bottom w:val="none" w:sz="0" w:space="0" w:color="auto"/>
        <w:right w:val="none" w:sz="0" w:space="0" w:color="auto"/>
      </w:divBdr>
      <w:divsChild>
        <w:div w:id="148643546">
          <w:marLeft w:val="1080"/>
          <w:marRight w:val="0"/>
          <w:marTop w:val="100"/>
          <w:marBottom w:val="0"/>
          <w:divBdr>
            <w:top w:val="none" w:sz="0" w:space="0" w:color="auto"/>
            <w:left w:val="none" w:sz="0" w:space="0" w:color="auto"/>
            <w:bottom w:val="none" w:sz="0" w:space="0" w:color="auto"/>
            <w:right w:val="none" w:sz="0" w:space="0" w:color="auto"/>
          </w:divBdr>
        </w:div>
        <w:div w:id="364477931">
          <w:marLeft w:val="1080"/>
          <w:marRight w:val="0"/>
          <w:marTop w:val="100"/>
          <w:marBottom w:val="0"/>
          <w:divBdr>
            <w:top w:val="none" w:sz="0" w:space="0" w:color="auto"/>
            <w:left w:val="none" w:sz="0" w:space="0" w:color="auto"/>
            <w:bottom w:val="none" w:sz="0" w:space="0" w:color="auto"/>
            <w:right w:val="none" w:sz="0" w:space="0" w:color="auto"/>
          </w:divBdr>
        </w:div>
        <w:div w:id="960258707">
          <w:marLeft w:val="360"/>
          <w:marRight w:val="0"/>
          <w:marTop w:val="200"/>
          <w:marBottom w:val="0"/>
          <w:divBdr>
            <w:top w:val="none" w:sz="0" w:space="0" w:color="auto"/>
            <w:left w:val="none" w:sz="0" w:space="0" w:color="auto"/>
            <w:bottom w:val="none" w:sz="0" w:space="0" w:color="auto"/>
            <w:right w:val="none" w:sz="0" w:space="0" w:color="auto"/>
          </w:divBdr>
        </w:div>
        <w:div w:id="1067844097">
          <w:marLeft w:val="360"/>
          <w:marRight w:val="0"/>
          <w:marTop w:val="200"/>
          <w:marBottom w:val="0"/>
          <w:divBdr>
            <w:top w:val="none" w:sz="0" w:space="0" w:color="auto"/>
            <w:left w:val="none" w:sz="0" w:space="0" w:color="auto"/>
            <w:bottom w:val="none" w:sz="0" w:space="0" w:color="auto"/>
            <w:right w:val="none" w:sz="0" w:space="0" w:color="auto"/>
          </w:divBdr>
        </w:div>
        <w:div w:id="1422406819">
          <w:marLeft w:val="360"/>
          <w:marRight w:val="0"/>
          <w:marTop w:val="200"/>
          <w:marBottom w:val="0"/>
          <w:divBdr>
            <w:top w:val="none" w:sz="0" w:space="0" w:color="auto"/>
            <w:left w:val="none" w:sz="0" w:space="0" w:color="auto"/>
            <w:bottom w:val="none" w:sz="0" w:space="0" w:color="auto"/>
            <w:right w:val="none" w:sz="0" w:space="0" w:color="auto"/>
          </w:divBdr>
        </w:div>
      </w:divsChild>
    </w:div>
    <w:div w:id="2108429279">
      <w:bodyDiv w:val="1"/>
      <w:marLeft w:val="0"/>
      <w:marRight w:val="0"/>
      <w:marTop w:val="0"/>
      <w:marBottom w:val="0"/>
      <w:divBdr>
        <w:top w:val="none" w:sz="0" w:space="0" w:color="auto"/>
        <w:left w:val="none" w:sz="0" w:space="0" w:color="auto"/>
        <w:bottom w:val="none" w:sz="0" w:space="0" w:color="auto"/>
        <w:right w:val="none" w:sz="0" w:space="0" w:color="auto"/>
      </w:divBdr>
      <w:divsChild>
        <w:div w:id="128519690">
          <w:marLeft w:val="0"/>
          <w:marRight w:val="0"/>
          <w:marTop w:val="0"/>
          <w:marBottom w:val="0"/>
          <w:divBdr>
            <w:top w:val="none" w:sz="0" w:space="0" w:color="auto"/>
            <w:left w:val="none" w:sz="0" w:space="0" w:color="auto"/>
            <w:bottom w:val="none" w:sz="0" w:space="0" w:color="auto"/>
            <w:right w:val="none" w:sz="0" w:space="0" w:color="auto"/>
          </w:divBdr>
        </w:div>
        <w:div w:id="70552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eas.repec.org/a/eee/deveco/v101y2013icp284-296.html" TargetMode="External"/><Relationship Id="rId18" Type="http://schemas.openxmlformats.org/officeDocument/2006/relationships/hyperlink" Target="http://ideas.repec.org/s/tpr/restat.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deas.repec.org/a/taf/jitecd/v22y2013i5p658-693.html" TargetMode="External"/><Relationship Id="rId7" Type="http://schemas.openxmlformats.org/officeDocument/2006/relationships/endnotes" Target="endnotes.xml"/><Relationship Id="rId12" Type="http://schemas.openxmlformats.org/officeDocument/2006/relationships/hyperlink" Target="http://www.sciencedirect.com/science/article/pii/S0305750X15001680" TargetMode="External"/><Relationship Id="rId17" Type="http://schemas.openxmlformats.org/officeDocument/2006/relationships/hyperlink" Target="http://ideas.repec.org/a/tpr/restat/v92y2010i1p166-173.html" TargetMode="External"/><Relationship Id="rId25" Type="http://schemas.openxmlformats.org/officeDocument/2006/relationships/hyperlink" Target="https://www.wto.org/english/res_e/publications_e/wtr15_e.htm" TargetMode="External"/><Relationship Id="rId2" Type="http://schemas.openxmlformats.org/officeDocument/2006/relationships/numbering" Target="numbering.xml"/><Relationship Id="rId16" Type="http://schemas.openxmlformats.org/officeDocument/2006/relationships/hyperlink" Target="http://ideas.repec.org/s/eee/wdevel.html" TargetMode="External"/><Relationship Id="rId20" Type="http://schemas.openxmlformats.org/officeDocument/2006/relationships/hyperlink" Target="http://www.oecd-ilibrary.org/trade/trade-facilitation-indicators_5k4bw6kg6ws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ideas.repec.org/s/eee/wdevel.html" TargetMode="External"/><Relationship Id="rId5" Type="http://schemas.openxmlformats.org/officeDocument/2006/relationships/webSettings" Target="webSettings.xml"/><Relationship Id="rId15" Type="http://schemas.openxmlformats.org/officeDocument/2006/relationships/hyperlink" Target="http://ideas.repec.org/a/eee/wdevel/v39y2011i5p725-740.html" TargetMode="External"/><Relationship Id="rId23" Type="http://schemas.openxmlformats.org/officeDocument/2006/relationships/hyperlink" Target="http://ideas.repec.org/a/eee/wdevel/v40y2012i7p1295-1307.html" TargetMode="External"/><Relationship Id="rId10" Type="http://schemas.openxmlformats.org/officeDocument/2006/relationships/footer" Target="footer2.xml"/><Relationship Id="rId19" Type="http://schemas.openxmlformats.org/officeDocument/2006/relationships/hyperlink" Target="http://ideas.repec.org/p/wbk/wbrwps/5184.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deas.repec.org/s/eee/deveco.html" TargetMode="External"/><Relationship Id="rId22" Type="http://schemas.openxmlformats.org/officeDocument/2006/relationships/hyperlink" Target="http://ideas.repec.org/s/taf/jitecd.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eca.org/stories/call-arms-underlines-opening-africa-trade-facilitation-forum" TargetMode="External"/><Relationship Id="rId2" Type="http://schemas.openxmlformats.org/officeDocument/2006/relationships/hyperlink" Target="http://www.afdb.org/africa50" TargetMode="External"/><Relationship Id="rId1" Type="http://schemas.openxmlformats.org/officeDocument/2006/relationships/hyperlink" Target="http://www.worldbank.org/en/programs/trade-facilitation-suppor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C720-66BD-411B-AEA9-16CF81AD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12841</Words>
  <Characters>73200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85870</CharactersWithSpaces>
  <SharedDoc>false</SharedDoc>
  <HLinks>
    <vt:vector size="114" baseType="variant">
      <vt:variant>
        <vt:i4>5046364</vt:i4>
      </vt:variant>
      <vt:variant>
        <vt:i4>117</vt:i4>
      </vt:variant>
      <vt:variant>
        <vt:i4>0</vt:i4>
      </vt:variant>
      <vt:variant>
        <vt:i4>5</vt:i4>
      </vt:variant>
      <vt:variant>
        <vt:lpwstr>http://www.worldbank.org/lpi</vt:lpwstr>
      </vt:variant>
      <vt:variant>
        <vt:lpwstr/>
      </vt:variant>
      <vt:variant>
        <vt:i4>6357112</vt:i4>
      </vt:variant>
      <vt:variant>
        <vt:i4>114</vt:i4>
      </vt:variant>
      <vt:variant>
        <vt:i4>0</vt:i4>
      </vt:variant>
      <vt:variant>
        <vt:i4>5</vt:i4>
      </vt:variant>
      <vt:variant>
        <vt:lpwstr>http://www.kommers.se/Documents/dokumentarkiv/publikationer/2010/skriftserien/report-2010-2-at-your-service.pdf</vt:lpwstr>
      </vt:variant>
      <vt:variant>
        <vt:lpwstr/>
      </vt:variant>
      <vt:variant>
        <vt:i4>5701661</vt:i4>
      </vt:variant>
      <vt:variant>
        <vt:i4>111</vt:i4>
      </vt:variant>
      <vt:variant>
        <vt:i4>0</vt:i4>
      </vt:variant>
      <vt:variant>
        <vt:i4>5</vt:i4>
      </vt:variant>
      <vt:variant>
        <vt:lpwstr>https://ideas.repec.org/s/eee/streco.html</vt:lpwstr>
      </vt:variant>
      <vt:variant>
        <vt:lpwstr/>
      </vt:variant>
      <vt:variant>
        <vt:i4>1376259</vt:i4>
      </vt:variant>
      <vt:variant>
        <vt:i4>108</vt:i4>
      </vt:variant>
      <vt:variant>
        <vt:i4>0</vt:i4>
      </vt:variant>
      <vt:variant>
        <vt:i4>5</vt:i4>
      </vt:variant>
      <vt:variant>
        <vt:lpwstr>https://ideas.repec.org/a/eee/streco/v17y2006i2p127-147.html</vt:lpwstr>
      </vt:variant>
      <vt:variant>
        <vt:lpwstr/>
      </vt:variant>
      <vt:variant>
        <vt:i4>3276922</vt:i4>
      </vt:variant>
      <vt:variant>
        <vt:i4>105</vt:i4>
      </vt:variant>
      <vt:variant>
        <vt:i4>0</vt:i4>
      </vt:variant>
      <vt:variant>
        <vt:i4>5</vt:i4>
      </vt:variant>
      <vt:variant>
        <vt:lpwstr>http://10.0.3.239/s10290-013-0171-4</vt:lpwstr>
      </vt:variant>
      <vt:variant>
        <vt:lpwstr/>
      </vt:variant>
      <vt:variant>
        <vt:i4>5570560</vt:i4>
      </vt:variant>
      <vt:variant>
        <vt:i4>102</vt:i4>
      </vt:variant>
      <vt:variant>
        <vt:i4>0</vt:i4>
      </vt:variant>
      <vt:variant>
        <vt:i4>5</vt:i4>
      </vt:variant>
      <vt:variant>
        <vt:lpwstr>http://www.odi.org/sites/odi.org.uk/files/odi-assets/publications-opinion-files/7482.pdf</vt:lpwstr>
      </vt:variant>
      <vt:variant>
        <vt:lpwstr/>
      </vt:variant>
      <vt:variant>
        <vt:i4>720898</vt:i4>
      </vt:variant>
      <vt:variant>
        <vt:i4>99</vt:i4>
      </vt:variant>
      <vt:variant>
        <vt:i4>0</vt:i4>
      </vt:variant>
      <vt:variant>
        <vt:i4>5</vt:i4>
      </vt:variant>
      <vt:variant>
        <vt:lpwstr>http://ideas.repec.org/p/wbk/wbrwps/5184.html</vt:lpwstr>
      </vt:variant>
      <vt:variant>
        <vt:lpwstr/>
      </vt:variant>
      <vt:variant>
        <vt:i4>1966145</vt:i4>
      </vt:variant>
      <vt:variant>
        <vt:i4>96</vt:i4>
      </vt:variant>
      <vt:variant>
        <vt:i4>0</vt:i4>
      </vt:variant>
      <vt:variant>
        <vt:i4>5</vt:i4>
      </vt:variant>
      <vt:variant>
        <vt:lpwstr>http://ideas.repec.org/s/tpr/restat.html</vt:lpwstr>
      </vt:variant>
      <vt:variant>
        <vt:lpwstr/>
      </vt:variant>
      <vt:variant>
        <vt:i4>6553708</vt:i4>
      </vt:variant>
      <vt:variant>
        <vt:i4>93</vt:i4>
      </vt:variant>
      <vt:variant>
        <vt:i4>0</vt:i4>
      </vt:variant>
      <vt:variant>
        <vt:i4>5</vt:i4>
      </vt:variant>
      <vt:variant>
        <vt:lpwstr>http://ideas.repec.org/a/tpr/restat/v92y2010i1p166-173.html</vt:lpwstr>
      </vt:variant>
      <vt:variant>
        <vt:lpwstr/>
      </vt:variant>
      <vt:variant>
        <vt:i4>7864359</vt:i4>
      </vt:variant>
      <vt:variant>
        <vt:i4>90</vt:i4>
      </vt:variant>
      <vt:variant>
        <vt:i4>0</vt:i4>
      </vt:variant>
      <vt:variant>
        <vt:i4>5</vt:i4>
      </vt:variant>
      <vt:variant>
        <vt:lpwstr>http://ssrn.com/abstract=610298</vt:lpwstr>
      </vt:variant>
      <vt:variant>
        <vt:lpwstr/>
      </vt:variant>
      <vt:variant>
        <vt:i4>4718595</vt:i4>
      </vt:variant>
      <vt:variant>
        <vt:i4>87</vt:i4>
      </vt:variant>
      <vt:variant>
        <vt:i4>0</vt:i4>
      </vt:variant>
      <vt:variant>
        <vt:i4>5</vt:i4>
      </vt:variant>
      <vt:variant>
        <vt:lpwstr>https://ideas.repec.org/s/tpr/jeurec.html</vt:lpwstr>
      </vt:variant>
      <vt:variant>
        <vt:lpwstr/>
      </vt:variant>
      <vt:variant>
        <vt:i4>4259859</vt:i4>
      </vt:variant>
      <vt:variant>
        <vt:i4>84</vt:i4>
      </vt:variant>
      <vt:variant>
        <vt:i4>0</vt:i4>
      </vt:variant>
      <vt:variant>
        <vt:i4>5</vt:i4>
      </vt:variant>
      <vt:variant>
        <vt:lpwstr>https://ideas.repec.org/a/tpr/jeurec/v7y2009i2-3p469-477.html</vt:lpwstr>
      </vt:variant>
      <vt:variant>
        <vt:lpwstr/>
      </vt:variant>
      <vt:variant>
        <vt:i4>5701661</vt:i4>
      </vt:variant>
      <vt:variant>
        <vt:i4>81</vt:i4>
      </vt:variant>
      <vt:variant>
        <vt:i4>0</vt:i4>
      </vt:variant>
      <vt:variant>
        <vt:i4>5</vt:i4>
      </vt:variant>
      <vt:variant>
        <vt:lpwstr>https://ideas.repec.org/s/eee/streco.html</vt:lpwstr>
      </vt:variant>
      <vt:variant>
        <vt:lpwstr/>
      </vt:variant>
      <vt:variant>
        <vt:i4>1507335</vt:i4>
      </vt:variant>
      <vt:variant>
        <vt:i4>78</vt:i4>
      </vt:variant>
      <vt:variant>
        <vt:i4>0</vt:i4>
      </vt:variant>
      <vt:variant>
        <vt:i4>5</vt:i4>
      </vt:variant>
      <vt:variant>
        <vt:lpwstr>https://ideas.repec.org/a/eee/streco/v16y2005i4p437-466.html</vt:lpwstr>
      </vt:variant>
      <vt:variant>
        <vt:lpwstr/>
      </vt:variant>
      <vt:variant>
        <vt:i4>5111824</vt:i4>
      </vt:variant>
      <vt:variant>
        <vt:i4>75</vt:i4>
      </vt:variant>
      <vt:variant>
        <vt:i4>0</vt:i4>
      </vt:variant>
      <vt:variant>
        <vt:i4>5</vt:i4>
      </vt:variant>
      <vt:variant>
        <vt:lpwstr>https://ideas.repec.org/s/ecj/econjl.html</vt:lpwstr>
      </vt:variant>
      <vt:variant>
        <vt:lpwstr/>
      </vt:variant>
      <vt:variant>
        <vt:i4>7602217</vt:i4>
      </vt:variant>
      <vt:variant>
        <vt:i4>72</vt:i4>
      </vt:variant>
      <vt:variant>
        <vt:i4>0</vt:i4>
      </vt:variant>
      <vt:variant>
        <vt:i4>5</vt:i4>
      </vt:variant>
      <vt:variant>
        <vt:lpwstr>https://ideas.repec.org/a/ecj/econjl/v121y2011i555p931-957.html</vt:lpwstr>
      </vt:variant>
      <vt:variant>
        <vt:lpwstr/>
      </vt:variant>
      <vt:variant>
        <vt:i4>6619181</vt:i4>
      </vt:variant>
      <vt:variant>
        <vt:i4>69</vt:i4>
      </vt:variant>
      <vt:variant>
        <vt:i4>0</vt:i4>
      </vt:variant>
      <vt:variant>
        <vt:i4>5</vt:i4>
      </vt:variant>
      <vt:variant>
        <vt:lpwstr>http://dx.doi.org/10.1017/S147474561500052X</vt:lpwstr>
      </vt:variant>
      <vt:variant>
        <vt:lpwstr/>
      </vt:variant>
      <vt:variant>
        <vt:i4>4325451</vt:i4>
      </vt:variant>
      <vt:variant>
        <vt:i4>66</vt:i4>
      </vt:variant>
      <vt:variant>
        <vt:i4>0</vt:i4>
      </vt:variant>
      <vt:variant>
        <vt:i4>5</vt:i4>
      </vt:variant>
      <vt:variant>
        <vt:lpwstr>http://dx.doi.org/10.1787/aeo-2014-en</vt:lpwstr>
      </vt:variant>
      <vt:variant>
        <vt:lpwstr/>
      </vt:variant>
      <vt:variant>
        <vt:i4>458766</vt:i4>
      </vt:variant>
      <vt:variant>
        <vt:i4>24</vt:i4>
      </vt:variant>
      <vt:variant>
        <vt:i4>0</vt:i4>
      </vt:variant>
      <vt:variant>
        <vt:i4>5</vt:i4>
      </vt:variant>
      <vt:variant>
        <vt:lpwstr>http://data.worldbank.org/data-catalog/export-value-added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2017-04-02T20:34:00Z</dcterms:created>
  <dcterms:modified xsi:type="dcterms:W3CDTF">2017-04-02T20:34:00Z</dcterms:modified>
</cp:coreProperties>
</file>